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8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48"/>
      </w:tblGrid>
      <w:tr w14:paraId="2BA12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42" w:hRule="atLeast"/>
        </w:trPr>
        <w:tc>
          <w:tcPr>
            <w:tcW w:w="8748" w:type="dxa"/>
          </w:tcPr>
          <w:p w14:paraId="08928F07">
            <w:pPr>
              <w:pStyle w:val="7"/>
              <w:spacing w:before="0" w:beforeAutospacing="0" w:after="0" w:afterAutospacing="0" w:line="360" w:lineRule="auto"/>
              <w:rPr>
                <w:rFonts w:hint="default" w:ascii="宋体" w:hAnsi="宋体" w:eastAsia="宋体" w:cs="宋体"/>
                <w:sz w:val="21"/>
                <w:szCs w:val="21"/>
                <w:highlight w:val="none"/>
                <w:lang w:val="en-US"/>
              </w:rPr>
            </w:pPr>
            <w:r>
              <w:rPr>
                <w:rFonts w:hint="eastAsia" w:ascii="宋体" w:hAnsi="宋体" w:eastAsia="宋体" w:cs="宋体"/>
                <w:sz w:val="21"/>
                <w:szCs w:val="21"/>
                <w:highlight w:val="none"/>
              </w:rPr>
              <w:t>一、工程概况：</w:t>
            </w:r>
            <w:r>
              <w:rPr>
                <w:rFonts w:hint="eastAsia" w:ascii="宋体" w:hAnsi="宋体" w:eastAsia="宋体" w:cs="宋体"/>
                <w:color w:val="000000"/>
                <w:kern w:val="2"/>
                <w:sz w:val="21"/>
                <w:szCs w:val="21"/>
                <w:highlight w:val="none"/>
                <w:lang w:val="en-US" w:eastAsia="zh-CN" w:bidi="ar-SA"/>
              </w:rPr>
              <w:t>本项目为天东桥（东风港路）维修工程,包括</w:t>
            </w:r>
            <w:r>
              <w:rPr>
                <w:rFonts w:hint="eastAsia" w:cs="宋体"/>
                <w:color w:val="000000"/>
                <w:kern w:val="2"/>
                <w:sz w:val="21"/>
                <w:szCs w:val="21"/>
                <w:highlight w:val="none"/>
                <w:lang w:val="en-US" w:eastAsia="zh-CN" w:bidi="ar-SA"/>
              </w:rPr>
              <w:t>原有栏杆拆除、不锈钢栏杆制作安装、支座除锈刷漆、桥梁伸缩缝更换</w:t>
            </w:r>
            <w:r>
              <w:rPr>
                <w:rFonts w:hint="eastAsia" w:ascii="宋体" w:hAnsi="宋体" w:eastAsia="宋体" w:cs="宋体"/>
                <w:color w:val="000000"/>
                <w:kern w:val="2"/>
                <w:sz w:val="21"/>
                <w:szCs w:val="21"/>
                <w:highlight w:val="none"/>
                <w:lang w:val="en-US" w:eastAsia="zh-CN" w:bidi="ar-SA"/>
              </w:rPr>
              <w:t>等。</w:t>
            </w:r>
          </w:p>
          <w:p w14:paraId="157A88FE">
            <w:pPr>
              <w:keepNext w:val="0"/>
              <w:keepLines w:val="0"/>
              <w:pageBreakBefore w:val="0"/>
              <w:widowControl w:val="0"/>
              <w:kinsoku/>
              <w:wordWrap/>
              <w:overflowPunct/>
              <w:topLinePunct w:val="0"/>
              <w:autoSpaceDE w:val="0"/>
              <w:autoSpaceDN w:val="0"/>
              <w:bidi w:val="0"/>
              <w:adjustRightInd/>
              <w:snapToGrid/>
              <w:spacing w:line="360" w:lineRule="auto"/>
              <w:textAlignment w:val="auto"/>
              <w:rPr>
                <w:rFonts w:hint="eastAsia" w:ascii="宋体" w:hAnsi="宋体" w:eastAsia="宋体" w:cs="宋体"/>
                <w:color w:val="000000"/>
                <w:szCs w:val="21"/>
                <w:highlight w:val="none"/>
              </w:rPr>
            </w:pPr>
            <w:r>
              <w:rPr>
                <w:rFonts w:hint="eastAsia" w:ascii="宋体" w:hAnsi="宋体" w:eastAsia="宋体" w:cs="宋体"/>
                <w:szCs w:val="21"/>
                <w:highlight w:val="none"/>
              </w:rPr>
              <w:t>二、工程招标范围：</w:t>
            </w:r>
            <w:r>
              <w:rPr>
                <w:rFonts w:hint="eastAsia" w:ascii="宋体" w:hAnsi="宋体" w:eastAsia="宋体" w:cs="宋体"/>
                <w:color w:val="000000"/>
                <w:szCs w:val="21"/>
                <w:highlight w:val="none"/>
              </w:rPr>
              <w:t>根据业主提供</w:t>
            </w:r>
            <w:r>
              <w:rPr>
                <w:rFonts w:hint="eastAsia" w:ascii="宋体" w:hAnsi="宋体" w:eastAsia="宋体" w:cs="宋体"/>
                <w:szCs w:val="21"/>
                <w:highlight w:val="none"/>
              </w:rPr>
              <w:t>的图纸</w:t>
            </w:r>
            <w:r>
              <w:rPr>
                <w:rFonts w:hint="eastAsia" w:ascii="宋体" w:hAnsi="宋体" w:eastAsia="宋体" w:cs="宋体"/>
                <w:color w:val="000000"/>
                <w:szCs w:val="21"/>
                <w:highlight w:val="none"/>
              </w:rPr>
              <w:t>确定的范围。</w:t>
            </w:r>
          </w:p>
          <w:p w14:paraId="54898135">
            <w:pPr>
              <w:pStyle w:val="2"/>
              <w:keepNext w:val="0"/>
              <w:keepLines w:val="0"/>
              <w:pageBreakBefore w:val="0"/>
              <w:widowControl w:val="0"/>
              <w:kinsoku/>
              <w:wordWrap/>
              <w:overflowPunct/>
              <w:topLinePunct w:val="0"/>
              <w:bidi w:val="0"/>
              <w:adjustRightInd/>
              <w:snapToGrid/>
              <w:spacing w:line="360" w:lineRule="auto"/>
              <w:textAlignment w:val="auto"/>
              <w:rPr>
                <w:rFonts w:hint="eastAsia" w:ascii="宋体" w:hAnsi="宋体" w:eastAsia="宋体" w:cs="宋体"/>
                <w:highlight w:val="none"/>
              </w:rPr>
            </w:pPr>
            <w:r>
              <w:rPr>
                <w:rFonts w:hint="eastAsia" w:ascii="宋体" w:hAnsi="宋体" w:eastAsia="宋体" w:cs="宋体"/>
                <w:highlight w:val="none"/>
              </w:rPr>
              <w:t>三、编制依据：</w:t>
            </w:r>
          </w:p>
          <w:p w14:paraId="4167E0A8">
            <w:pPr>
              <w:autoSpaceDE w:val="0"/>
              <w:autoSpaceDN w:val="0"/>
              <w:adjustRightInd w:val="0"/>
              <w:spacing w:line="360" w:lineRule="auto"/>
              <w:ind w:firstLine="420"/>
              <w:rPr>
                <w:rFonts w:ascii="宋体" w:hAnsi="宋体" w:cs="宋体"/>
                <w:color w:val="000000"/>
                <w:szCs w:val="21"/>
                <w:highlight w:val="none"/>
              </w:rPr>
            </w:pPr>
            <w:r>
              <w:rPr>
                <w:rFonts w:ascii="宋体" w:hAnsi="宋体" w:cs="宋体"/>
                <w:color w:val="000000"/>
                <w:szCs w:val="21"/>
                <w:highlight w:val="none"/>
              </w:rPr>
              <w:t>1</w:t>
            </w:r>
            <w:r>
              <w:rPr>
                <w:rFonts w:hint="eastAsia" w:ascii="宋体" w:hAnsi="宋体" w:cs="宋体"/>
                <w:color w:val="000000"/>
                <w:szCs w:val="21"/>
                <w:highlight w:val="none"/>
              </w:rPr>
              <w:t>.《建设工程工程量清单计价规范》（GB50500—2013）；</w:t>
            </w:r>
          </w:p>
          <w:p w14:paraId="282B9DAB">
            <w:pPr>
              <w:autoSpaceDE w:val="0"/>
              <w:autoSpaceDN w:val="0"/>
              <w:adjustRightInd w:val="0"/>
              <w:spacing w:line="360" w:lineRule="auto"/>
              <w:ind w:firstLine="420"/>
              <w:rPr>
                <w:rFonts w:hint="eastAsia" w:ascii="宋体" w:hAnsi="宋体" w:cs="宋体"/>
                <w:color w:val="000000"/>
                <w:szCs w:val="21"/>
                <w:highlight w:val="none"/>
              </w:rPr>
            </w:pPr>
            <w:r>
              <w:rPr>
                <w:rFonts w:ascii="宋体" w:hAnsi="宋体" w:cs="宋体"/>
                <w:color w:val="000000"/>
                <w:szCs w:val="21"/>
                <w:highlight w:val="none"/>
              </w:rPr>
              <w:t>2</w:t>
            </w:r>
            <w:r>
              <w:rPr>
                <w:rFonts w:hint="eastAsia" w:ascii="宋体" w:hAnsi="宋体" w:cs="宋体"/>
                <w:color w:val="000000"/>
                <w:szCs w:val="21"/>
                <w:highlight w:val="none"/>
              </w:rPr>
              <w:t>.《房屋建筑与装饰工程工程量计算规范》（GB50854—2013）；</w:t>
            </w:r>
          </w:p>
          <w:p w14:paraId="3EF21796">
            <w:pPr>
              <w:autoSpaceDE w:val="0"/>
              <w:autoSpaceDN w:val="0"/>
              <w:adjustRightInd w:val="0"/>
              <w:spacing w:line="360" w:lineRule="auto"/>
              <w:ind w:firstLine="420"/>
              <w:rPr>
                <w:rFonts w:hint="eastAsia" w:ascii="宋体" w:hAnsi="宋体" w:cs="宋体"/>
                <w:color w:val="000000"/>
                <w:szCs w:val="21"/>
                <w:highlight w:val="none"/>
              </w:rPr>
            </w:pPr>
            <w:r>
              <w:rPr>
                <w:rFonts w:hint="eastAsia" w:ascii="宋体" w:hAnsi="宋体" w:cs="宋体"/>
                <w:color w:val="000000"/>
                <w:szCs w:val="21"/>
                <w:highlight w:val="none"/>
                <w:lang w:val="en-US" w:eastAsia="zh-CN"/>
              </w:rPr>
              <w:t>3.</w:t>
            </w:r>
            <w:r>
              <w:rPr>
                <w:rFonts w:hint="eastAsia" w:ascii="宋体" w:hAnsi="宋体" w:cs="宋体"/>
                <w:color w:val="000000"/>
                <w:szCs w:val="21"/>
                <w:highlight w:val="none"/>
              </w:rPr>
              <w:t>《</w:t>
            </w:r>
            <w:r>
              <w:rPr>
                <w:rFonts w:hint="eastAsia" w:ascii="宋体" w:hAnsi="宋体" w:cs="宋体"/>
                <w:color w:val="000000"/>
                <w:szCs w:val="21"/>
                <w:highlight w:val="none"/>
                <w:lang w:val="en-US" w:eastAsia="zh-CN"/>
              </w:rPr>
              <w:t>仿古建筑</w:t>
            </w:r>
            <w:r>
              <w:rPr>
                <w:rFonts w:hint="eastAsia" w:ascii="宋体" w:hAnsi="宋体" w:cs="宋体"/>
                <w:color w:val="000000"/>
                <w:szCs w:val="21"/>
                <w:highlight w:val="none"/>
              </w:rPr>
              <w:t>工程工程量计算规范》（GB5085</w:t>
            </w:r>
            <w:r>
              <w:rPr>
                <w:rFonts w:hint="eastAsia" w:ascii="宋体" w:hAnsi="宋体" w:cs="宋体"/>
                <w:color w:val="000000"/>
                <w:szCs w:val="21"/>
                <w:highlight w:val="none"/>
                <w:lang w:val="en-US" w:eastAsia="zh-CN"/>
              </w:rPr>
              <w:t>5</w:t>
            </w:r>
            <w:r>
              <w:rPr>
                <w:rFonts w:hint="eastAsia" w:ascii="宋体" w:hAnsi="宋体" w:cs="宋体"/>
                <w:color w:val="000000"/>
                <w:szCs w:val="21"/>
                <w:highlight w:val="none"/>
              </w:rPr>
              <w:t>—2013）；</w:t>
            </w:r>
          </w:p>
          <w:p w14:paraId="5542D0A3">
            <w:pPr>
              <w:autoSpaceDE w:val="0"/>
              <w:autoSpaceDN w:val="0"/>
              <w:adjustRightInd w:val="0"/>
              <w:spacing w:line="360" w:lineRule="auto"/>
              <w:ind w:firstLine="420"/>
              <w:rPr>
                <w:rFonts w:hint="eastAsia" w:ascii="宋体" w:hAnsi="宋体" w:cs="宋体"/>
                <w:color w:val="000000"/>
                <w:szCs w:val="21"/>
                <w:highlight w:val="none"/>
              </w:rPr>
            </w:pPr>
            <w:r>
              <w:rPr>
                <w:rFonts w:hint="eastAsia" w:ascii="宋体" w:hAnsi="宋体" w:cs="宋体"/>
                <w:color w:val="000000"/>
                <w:szCs w:val="21"/>
                <w:highlight w:val="none"/>
                <w:lang w:val="en-US" w:eastAsia="zh-CN"/>
              </w:rPr>
              <w:t>4</w:t>
            </w:r>
            <w:r>
              <w:rPr>
                <w:rFonts w:hint="eastAsia" w:ascii="宋体" w:hAnsi="宋体" w:cs="宋体"/>
                <w:color w:val="000000"/>
                <w:szCs w:val="21"/>
                <w:highlight w:val="none"/>
              </w:rPr>
              <w:t>.《通用安装工程工程量计算规范》（GB5085</w:t>
            </w:r>
            <w:r>
              <w:rPr>
                <w:rFonts w:hint="eastAsia" w:ascii="宋体" w:hAnsi="宋体" w:cs="宋体"/>
                <w:color w:val="000000"/>
                <w:szCs w:val="21"/>
                <w:highlight w:val="none"/>
                <w:lang w:val="en-US" w:eastAsia="zh-CN"/>
              </w:rPr>
              <w:t>6</w:t>
            </w:r>
            <w:r>
              <w:rPr>
                <w:rFonts w:hint="eastAsia" w:ascii="宋体" w:hAnsi="宋体" w:cs="宋体"/>
                <w:color w:val="000000"/>
                <w:szCs w:val="21"/>
                <w:highlight w:val="none"/>
              </w:rPr>
              <w:t>—2013）；</w:t>
            </w:r>
          </w:p>
          <w:p w14:paraId="37CC00F2">
            <w:pPr>
              <w:autoSpaceDE w:val="0"/>
              <w:autoSpaceDN w:val="0"/>
              <w:adjustRightInd w:val="0"/>
              <w:spacing w:line="360" w:lineRule="auto"/>
              <w:ind w:firstLine="420"/>
              <w:rPr>
                <w:rFonts w:hint="eastAsia" w:ascii="宋体" w:hAnsi="宋体" w:cs="宋体"/>
                <w:color w:val="000000"/>
                <w:szCs w:val="21"/>
                <w:highlight w:val="none"/>
              </w:rPr>
            </w:pPr>
            <w:r>
              <w:rPr>
                <w:rFonts w:hint="eastAsia" w:ascii="宋体" w:hAnsi="宋体" w:cs="宋体"/>
                <w:color w:val="000000"/>
                <w:szCs w:val="21"/>
                <w:highlight w:val="none"/>
                <w:lang w:val="en-US" w:eastAsia="zh-CN"/>
              </w:rPr>
              <w:t>5.</w:t>
            </w:r>
            <w:r>
              <w:rPr>
                <w:rFonts w:hint="eastAsia" w:ascii="宋体" w:hAnsi="宋体" w:cs="宋体"/>
                <w:color w:val="000000"/>
                <w:szCs w:val="21"/>
                <w:highlight w:val="none"/>
              </w:rPr>
              <w:t>《</w:t>
            </w:r>
            <w:r>
              <w:rPr>
                <w:rFonts w:hint="eastAsia" w:ascii="宋体" w:hAnsi="宋体" w:cs="宋体"/>
                <w:color w:val="000000"/>
                <w:szCs w:val="21"/>
                <w:highlight w:val="none"/>
                <w:lang w:val="en-US" w:eastAsia="zh-CN"/>
              </w:rPr>
              <w:t>市政</w:t>
            </w:r>
            <w:r>
              <w:rPr>
                <w:rFonts w:hint="eastAsia" w:ascii="宋体" w:hAnsi="宋体" w:cs="宋体"/>
                <w:color w:val="000000"/>
                <w:szCs w:val="21"/>
                <w:highlight w:val="none"/>
              </w:rPr>
              <w:t>工程工程量计算规范》（GB5085</w:t>
            </w:r>
            <w:r>
              <w:rPr>
                <w:rFonts w:hint="eastAsia" w:ascii="宋体" w:hAnsi="宋体" w:cs="宋体"/>
                <w:color w:val="000000"/>
                <w:szCs w:val="21"/>
                <w:highlight w:val="none"/>
                <w:lang w:val="en-US" w:eastAsia="zh-CN"/>
              </w:rPr>
              <w:t>7</w:t>
            </w:r>
            <w:r>
              <w:rPr>
                <w:rFonts w:hint="eastAsia" w:ascii="宋体" w:hAnsi="宋体" w:cs="宋体"/>
                <w:color w:val="000000"/>
                <w:szCs w:val="21"/>
                <w:highlight w:val="none"/>
              </w:rPr>
              <w:t>—2013）；</w:t>
            </w:r>
          </w:p>
          <w:p w14:paraId="31E46B06">
            <w:pPr>
              <w:autoSpaceDE w:val="0"/>
              <w:autoSpaceDN w:val="0"/>
              <w:adjustRightInd w:val="0"/>
              <w:spacing w:line="360" w:lineRule="auto"/>
              <w:ind w:firstLine="420"/>
              <w:rPr>
                <w:rFonts w:hint="default" w:ascii="宋体" w:hAnsi="宋体" w:eastAsia="宋体" w:cs="宋体"/>
                <w:color w:val="000000"/>
                <w:szCs w:val="21"/>
                <w:highlight w:val="none"/>
                <w:lang w:val="en-US" w:eastAsia="zh-CN"/>
              </w:rPr>
            </w:pPr>
            <w:r>
              <w:rPr>
                <w:rFonts w:hint="eastAsia" w:ascii="宋体" w:hAnsi="宋体" w:cs="宋体"/>
                <w:color w:val="000000"/>
                <w:szCs w:val="21"/>
                <w:highlight w:val="none"/>
                <w:lang w:val="en-US" w:eastAsia="zh-CN"/>
              </w:rPr>
              <w:t>6.</w:t>
            </w:r>
            <w:r>
              <w:rPr>
                <w:rFonts w:hint="eastAsia" w:ascii="宋体" w:hAnsi="宋体" w:cs="宋体"/>
                <w:color w:val="000000"/>
                <w:szCs w:val="21"/>
                <w:highlight w:val="none"/>
              </w:rPr>
              <w:t>《</w:t>
            </w:r>
            <w:r>
              <w:rPr>
                <w:rFonts w:hint="eastAsia" w:ascii="宋体" w:hAnsi="宋体" w:cs="宋体"/>
                <w:color w:val="000000"/>
                <w:szCs w:val="21"/>
                <w:highlight w:val="none"/>
                <w:lang w:val="en-US" w:eastAsia="zh-CN"/>
              </w:rPr>
              <w:t>园林绿化</w:t>
            </w:r>
            <w:r>
              <w:rPr>
                <w:rFonts w:hint="eastAsia" w:ascii="宋体" w:hAnsi="宋体" w:cs="宋体"/>
                <w:color w:val="000000"/>
                <w:szCs w:val="21"/>
                <w:highlight w:val="none"/>
              </w:rPr>
              <w:t>工程工程量计算规范》（GB5085</w:t>
            </w:r>
            <w:r>
              <w:rPr>
                <w:rFonts w:hint="eastAsia" w:ascii="宋体" w:hAnsi="宋体" w:cs="宋体"/>
                <w:color w:val="000000"/>
                <w:szCs w:val="21"/>
                <w:highlight w:val="none"/>
                <w:lang w:val="en-US" w:eastAsia="zh-CN"/>
              </w:rPr>
              <w:t>8</w:t>
            </w:r>
            <w:r>
              <w:rPr>
                <w:rFonts w:hint="eastAsia" w:ascii="宋体" w:hAnsi="宋体" w:cs="宋体"/>
                <w:color w:val="000000"/>
                <w:szCs w:val="21"/>
                <w:highlight w:val="none"/>
              </w:rPr>
              <w:t>—2013）；</w:t>
            </w:r>
          </w:p>
          <w:p w14:paraId="7AFCE81E">
            <w:pPr>
              <w:autoSpaceDE w:val="0"/>
              <w:autoSpaceDN w:val="0"/>
              <w:adjustRightInd w:val="0"/>
              <w:spacing w:line="360" w:lineRule="auto"/>
              <w:ind w:firstLine="420"/>
              <w:rPr>
                <w:rFonts w:hint="eastAsia" w:ascii="宋体" w:hAnsi="宋体" w:cs="宋体"/>
                <w:color w:val="000000"/>
                <w:szCs w:val="21"/>
                <w:highlight w:val="none"/>
              </w:rPr>
            </w:pPr>
            <w:r>
              <w:rPr>
                <w:rFonts w:hint="eastAsia" w:ascii="宋体" w:hAnsi="宋体" w:cs="宋体"/>
                <w:color w:val="000000"/>
                <w:szCs w:val="21"/>
                <w:highlight w:val="none"/>
                <w:lang w:val="en-US" w:eastAsia="zh-CN"/>
              </w:rPr>
              <w:t>7</w:t>
            </w:r>
            <w:r>
              <w:rPr>
                <w:rFonts w:hint="eastAsia" w:ascii="宋体" w:hAnsi="宋体" w:cs="宋体"/>
                <w:color w:val="000000"/>
                <w:szCs w:val="21"/>
                <w:highlight w:val="none"/>
              </w:rPr>
              <w:t>．</w:t>
            </w:r>
            <w:r>
              <w:rPr>
                <w:rFonts w:hint="eastAsia" w:cs="宋体" w:asciiTheme="majorEastAsia" w:hAnsiTheme="majorEastAsia" w:eastAsiaTheme="majorEastAsia"/>
                <w:color w:val="000000"/>
                <w:szCs w:val="21"/>
                <w:highlight w:val="none"/>
              </w:rPr>
              <w:t>《浙江省建设工程工程量清单计价指引》（2</w:t>
            </w:r>
            <w:r>
              <w:rPr>
                <w:rFonts w:cs="宋体" w:asciiTheme="majorEastAsia" w:hAnsiTheme="majorEastAsia" w:eastAsiaTheme="majorEastAsia"/>
                <w:color w:val="000000"/>
                <w:szCs w:val="21"/>
                <w:highlight w:val="none"/>
              </w:rPr>
              <w:t>013</w:t>
            </w:r>
            <w:r>
              <w:rPr>
                <w:rFonts w:hint="eastAsia" w:cs="宋体" w:asciiTheme="majorEastAsia" w:hAnsiTheme="majorEastAsia" w:eastAsiaTheme="majorEastAsia"/>
                <w:color w:val="000000"/>
                <w:szCs w:val="21"/>
                <w:highlight w:val="none"/>
              </w:rPr>
              <w:t>版）；</w:t>
            </w:r>
          </w:p>
          <w:p w14:paraId="13411C0B">
            <w:pPr>
              <w:autoSpaceDE w:val="0"/>
              <w:autoSpaceDN w:val="0"/>
              <w:adjustRightInd w:val="0"/>
              <w:spacing w:line="360" w:lineRule="auto"/>
              <w:ind w:firstLine="420"/>
              <w:rPr>
                <w:rFonts w:hint="eastAsia" w:ascii="宋体" w:hAnsi="宋体" w:cs="宋体"/>
                <w:color w:val="000000"/>
                <w:szCs w:val="21"/>
                <w:highlight w:val="none"/>
              </w:rPr>
            </w:pPr>
            <w:r>
              <w:rPr>
                <w:rFonts w:hint="eastAsia" w:ascii="宋体" w:hAnsi="宋体" w:cs="宋体"/>
                <w:color w:val="000000"/>
                <w:szCs w:val="21"/>
                <w:highlight w:val="none"/>
                <w:lang w:val="en-US" w:eastAsia="zh-CN"/>
              </w:rPr>
              <w:t>8</w:t>
            </w:r>
            <w:r>
              <w:rPr>
                <w:rFonts w:hint="eastAsia" w:ascii="宋体" w:hAnsi="宋体" w:cs="宋体"/>
                <w:color w:val="000000"/>
                <w:szCs w:val="21"/>
                <w:highlight w:val="none"/>
              </w:rPr>
              <w:t>．《关于印发建设工程工程量计算规范（2013）浙江省补充规定的通知》（浙建站计﹝2013﹞63号）；</w:t>
            </w:r>
          </w:p>
          <w:p w14:paraId="5B078275">
            <w:pPr>
              <w:autoSpaceDE w:val="0"/>
              <w:autoSpaceDN w:val="0"/>
              <w:adjustRightInd w:val="0"/>
              <w:spacing w:line="360" w:lineRule="auto"/>
              <w:ind w:firstLine="420"/>
              <w:rPr>
                <w:rFonts w:hint="eastAsia" w:ascii="宋体" w:hAnsi="宋体" w:cs="宋体"/>
                <w:color w:val="000000"/>
                <w:szCs w:val="21"/>
                <w:highlight w:val="none"/>
              </w:rPr>
            </w:pPr>
            <w:r>
              <w:rPr>
                <w:rFonts w:hint="eastAsia" w:ascii="宋体" w:hAnsi="宋体" w:cs="宋体"/>
                <w:color w:val="000000"/>
                <w:szCs w:val="21"/>
                <w:highlight w:val="none"/>
                <w:lang w:val="en-US" w:eastAsia="zh-CN"/>
              </w:rPr>
              <w:t>9</w:t>
            </w:r>
            <w:r>
              <w:rPr>
                <w:rFonts w:hint="eastAsia" w:ascii="宋体" w:hAnsi="宋体" w:cs="宋体"/>
                <w:color w:val="000000"/>
                <w:szCs w:val="21"/>
                <w:highlight w:val="none"/>
              </w:rPr>
              <w:t>．《杭州市建设工程工程量清单计价实施细则（201</w:t>
            </w:r>
            <w:r>
              <w:rPr>
                <w:rFonts w:ascii="宋体" w:hAnsi="宋体" w:cs="宋体"/>
                <w:color w:val="000000"/>
                <w:szCs w:val="21"/>
                <w:highlight w:val="none"/>
              </w:rPr>
              <w:t>8</w:t>
            </w:r>
            <w:r>
              <w:rPr>
                <w:rFonts w:hint="eastAsia" w:ascii="宋体" w:hAnsi="宋体" w:cs="宋体"/>
                <w:color w:val="000000"/>
                <w:szCs w:val="21"/>
                <w:highlight w:val="none"/>
              </w:rPr>
              <w:t>年修订）》；</w:t>
            </w:r>
          </w:p>
          <w:p w14:paraId="3C45EF83">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lang w:val="en-US" w:eastAsia="zh-CN"/>
              </w:rPr>
              <w:t>10</w:t>
            </w:r>
            <w:r>
              <w:rPr>
                <w:rFonts w:hint="eastAsia" w:ascii="宋体" w:hAnsi="宋体" w:cs="宋体"/>
                <w:color w:val="000000"/>
                <w:szCs w:val="21"/>
                <w:highlight w:val="none"/>
              </w:rPr>
              <w:t>．《浙江省建设工程计价规则》（2018版）；</w:t>
            </w:r>
          </w:p>
          <w:p w14:paraId="18EB95A6">
            <w:pPr>
              <w:autoSpaceDE w:val="0"/>
              <w:autoSpaceDN w:val="0"/>
              <w:adjustRightInd w:val="0"/>
              <w:spacing w:line="360" w:lineRule="auto"/>
              <w:ind w:firstLine="420"/>
              <w:rPr>
                <w:rFonts w:cs="宋体" w:asciiTheme="majorEastAsia" w:hAnsiTheme="majorEastAsia" w:eastAsiaTheme="majorEastAsia"/>
                <w:color w:val="000000"/>
                <w:szCs w:val="21"/>
              </w:rPr>
            </w:pPr>
            <w:r>
              <w:rPr>
                <w:rFonts w:hint="eastAsia" w:cs="宋体" w:asciiTheme="majorEastAsia" w:hAnsiTheme="majorEastAsia" w:eastAsiaTheme="majorEastAsia"/>
                <w:color w:val="000000"/>
                <w:szCs w:val="21"/>
                <w:lang w:val="en-US" w:eastAsia="zh-CN"/>
              </w:rPr>
              <w:t>11</w:t>
            </w:r>
            <w:r>
              <w:rPr>
                <w:rFonts w:hint="eastAsia" w:cs="宋体" w:asciiTheme="majorEastAsia" w:hAnsiTheme="majorEastAsia" w:eastAsiaTheme="majorEastAsia"/>
                <w:color w:val="000000"/>
                <w:szCs w:val="21"/>
              </w:rPr>
              <w:t>.《浙江省房屋建筑与装饰工程预算定额》（2018版）；</w:t>
            </w:r>
          </w:p>
          <w:p w14:paraId="450FD769">
            <w:pPr>
              <w:autoSpaceDE w:val="0"/>
              <w:autoSpaceDN w:val="0"/>
              <w:adjustRightInd w:val="0"/>
              <w:spacing w:line="360" w:lineRule="auto"/>
              <w:ind w:firstLine="420"/>
              <w:rPr>
                <w:rFonts w:hint="eastAsia" w:cs="宋体" w:asciiTheme="majorEastAsia" w:hAnsiTheme="majorEastAsia" w:eastAsiaTheme="majorEastAsia"/>
                <w:color w:val="000000"/>
                <w:szCs w:val="21"/>
              </w:rPr>
            </w:pPr>
            <w:r>
              <w:rPr>
                <w:rFonts w:hint="eastAsia" w:cs="宋体" w:asciiTheme="majorEastAsia" w:hAnsiTheme="majorEastAsia" w:eastAsiaTheme="majorEastAsia"/>
                <w:color w:val="000000"/>
                <w:szCs w:val="21"/>
                <w:lang w:val="en-US" w:eastAsia="zh-CN"/>
              </w:rPr>
              <w:t>12</w:t>
            </w:r>
            <w:r>
              <w:rPr>
                <w:rFonts w:hint="eastAsia" w:cs="宋体" w:asciiTheme="majorEastAsia" w:hAnsiTheme="majorEastAsia" w:eastAsiaTheme="majorEastAsia"/>
                <w:color w:val="000000"/>
                <w:szCs w:val="21"/>
              </w:rPr>
              <w:t>.《浙江省通用安装工程预算定额》（2018版）；</w:t>
            </w:r>
          </w:p>
          <w:p w14:paraId="215DAA09">
            <w:pPr>
              <w:autoSpaceDE w:val="0"/>
              <w:autoSpaceDN w:val="0"/>
              <w:adjustRightInd w:val="0"/>
              <w:spacing w:line="360" w:lineRule="auto"/>
              <w:ind w:firstLine="420"/>
              <w:rPr>
                <w:rFonts w:hint="eastAsia" w:cs="宋体" w:asciiTheme="majorEastAsia" w:hAnsiTheme="majorEastAsia" w:eastAsiaTheme="majorEastAsia"/>
                <w:color w:val="000000"/>
                <w:szCs w:val="21"/>
              </w:rPr>
            </w:pPr>
            <w:r>
              <w:rPr>
                <w:rFonts w:hint="eastAsia" w:cs="宋体" w:asciiTheme="majorEastAsia" w:hAnsiTheme="majorEastAsia" w:eastAsiaTheme="majorEastAsia"/>
                <w:color w:val="000000"/>
                <w:szCs w:val="21"/>
                <w:lang w:val="en-US" w:eastAsia="zh-CN"/>
              </w:rPr>
              <w:t>13.</w:t>
            </w:r>
            <w:r>
              <w:rPr>
                <w:rFonts w:hint="eastAsia" w:cs="宋体" w:asciiTheme="majorEastAsia" w:hAnsiTheme="majorEastAsia" w:eastAsiaTheme="majorEastAsia"/>
                <w:color w:val="000000"/>
                <w:szCs w:val="21"/>
              </w:rPr>
              <w:t>《浙江省</w:t>
            </w:r>
            <w:r>
              <w:rPr>
                <w:rFonts w:hint="eastAsia" w:cs="宋体" w:asciiTheme="majorEastAsia" w:hAnsiTheme="majorEastAsia" w:eastAsiaTheme="majorEastAsia"/>
                <w:color w:val="000000"/>
                <w:szCs w:val="21"/>
                <w:lang w:val="en-US" w:eastAsia="zh-CN"/>
              </w:rPr>
              <w:t>市政</w:t>
            </w:r>
            <w:r>
              <w:rPr>
                <w:rFonts w:hint="eastAsia" w:cs="宋体" w:asciiTheme="majorEastAsia" w:hAnsiTheme="majorEastAsia" w:eastAsiaTheme="majorEastAsia"/>
                <w:color w:val="000000"/>
                <w:szCs w:val="21"/>
              </w:rPr>
              <w:t>工程预算定额》（2018版）；</w:t>
            </w:r>
          </w:p>
          <w:p w14:paraId="60AB5CAC">
            <w:pPr>
              <w:autoSpaceDE w:val="0"/>
              <w:autoSpaceDN w:val="0"/>
              <w:adjustRightInd w:val="0"/>
              <w:spacing w:line="360" w:lineRule="auto"/>
              <w:ind w:firstLine="420"/>
              <w:rPr>
                <w:rFonts w:hint="eastAsia" w:cs="宋体" w:asciiTheme="majorEastAsia" w:hAnsiTheme="majorEastAsia" w:eastAsiaTheme="majorEastAsia"/>
                <w:color w:val="000000"/>
                <w:szCs w:val="21"/>
              </w:rPr>
            </w:pPr>
            <w:r>
              <w:rPr>
                <w:rFonts w:hint="eastAsia" w:cs="宋体" w:asciiTheme="majorEastAsia" w:hAnsiTheme="majorEastAsia" w:eastAsiaTheme="majorEastAsia"/>
                <w:color w:val="000000"/>
                <w:szCs w:val="21"/>
                <w:lang w:val="en-US" w:eastAsia="zh-CN"/>
              </w:rPr>
              <w:t>14.</w:t>
            </w:r>
            <w:r>
              <w:rPr>
                <w:rFonts w:hint="eastAsia" w:cs="宋体" w:asciiTheme="majorEastAsia" w:hAnsiTheme="majorEastAsia" w:eastAsiaTheme="majorEastAsia"/>
                <w:color w:val="000000"/>
                <w:szCs w:val="21"/>
              </w:rPr>
              <w:t>《浙江省</w:t>
            </w:r>
            <w:r>
              <w:rPr>
                <w:rFonts w:hint="eastAsia" w:cs="宋体" w:asciiTheme="majorEastAsia" w:hAnsiTheme="majorEastAsia" w:eastAsiaTheme="majorEastAsia"/>
                <w:color w:val="000000"/>
                <w:szCs w:val="21"/>
                <w:lang w:val="en-US" w:eastAsia="zh-CN"/>
              </w:rPr>
              <w:t>园林绿化及仿古建筑</w:t>
            </w:r>
            <w:r>
              <w:rPr>
                <w:rFonts w:hint="eastAsia" w:cs="宋体" w:asciiTheme="majorEastAsia" w:hAnsiTheme="majorEastAsia" w:eastAsiaTheme="majorEastAsia"/>
                <w:color w:val="000000"/>
                <w:szCs w:val="21"/>
              </w:rPr>
              <w:t>工程预算定额》（2018版）；</w:t>
            </w:r>
          </w:p>
          <w:p w14:paraId="269074DB">
            <w:pPr>
              <w:autoSpaceDE w:val="0"/>
              <w:autoSpaceDN w:val="0"/>
              <w:adjustRightInd w:val="0"/>
              <w:spacing w:line="360" w:lineRule="auto"/>
              <w:ind w:firstLine="420"/>
              <w:rPr>
                <w:rFonts w:hint="eastAsia" w:cs="宋体" w:asciiTheme="majorEastAsia" w:hAnsiTheme="majorEastAsia" w:eastAsiaTheme="majorEastAsia"/>
                <w:color w:val="000000"/>
                <w:szCs w:val="21"/>
                <w:lang w:val="en-US" w:eastAsia="zh-CN"/>
              </w:rPr>
            </w:pPr>
            <w:r>
              <w:rPr>
                <w:rFonts w:hint="eastAsia" w:cs="宋体" w:asciiTheme="majorEastAsia" w:hAnsiTheme="majorEastAsia" w:eastAsiaTheme="majorEastAsia"/>
                <w:color w:val="000000"/>
                <w:szCs w:val="21"/>
                <w:lang w:val="en-US" w:eastAsia="zh-CN"/>
              </w:rPr>
              <w:t>15.《关于增值税调整后我省建设工程计价依据增值税税率及有关计价调整的通知》（浙建建发[2019]92号 ）；</w:t>
            </w:r>
          </w:p>
          <w:p w14:paraId="27A62ADB">
            <w:pPr>
              <w:autoSpaceDE w:val="0"/>
              <w:autoSpaceDN w:val="0"/>
              <w:adjustRightInd w:val="0"/>
              <w:spacing w:line="360" w:lineRule="auto"/>
              <w:ind w:firstLine="420"/>
              <w:rPr>
                <w:rFonts w:hint="eastAsia" w:cs="宋体" w:asciiTheme="majorEastAsia" w:hAnsiTheme="majorEastAsia" w:eastAsiaTheme="majorEastAsia"/>
                <w:color w:val="000000"/>
                <w:szCs w:val="21"/>
                <w:highlight w:val="none"/>
                <w:lang w:val="en-US" w:eastAsia="zh-CN"/>
              </w:rPr>
            </w:pPr>
            <w:r>
              <w:rPr>
                <w:rFonts w:hint="eastAsia" w:cs="宋体" w:asciiTheme="majorEastAsia" w:hAnsiTheme="majorEastAsia" w:eastAsiaTheme="majorEastAsia"/>
                <w:color w:val="000000"/>
                <w:szCs w:val="21"/>
                <w:highlight w:val="none"/>
                <w:lang w:val="en-US" w:eastAsia="zh-CN"/>
              </w:rPr>
              <w:t>16.《杭州市城乡建设委员会关于推进杭州市建筑施工领域安全生产责任保险工作的通知》（杭建工发[2021]384号）、《关于明确杭州市建筑施工领域安全生产责任保险费用计取的通知》（杭建招标造价中心[2021]84号）；</w:t>
            </w:r>
          </w:p>
          <w:p w14:paraId="0C0197D6">
            <w:pPr>
              <w:autoSpaceDE w:val="0"/>
              <w:autoSpaceDN w:val="0"/>
              <w:adjustRightInd w:val="0"/>
              <w:spacing w:line="360" w:lineRule="auto"/>
              <w:ind w:firstLine="420"/>
              <w:rPr>
                <w:rFonts w:hint="eastAsia" w:cs="宋体" w:asciiTheme="majorEastAsia" w:hAnsiTheme="majorEastAsia" w:eastAsiaTheme="majorEastAsia"/>
                <w:color w:val="000000"/>
                <w:szCs w:val="21"/>
                <w:highlight w:val="none"/>
                <w:lang w:val="en-US" w:eastAsia="zh-CN"/>
              </w:rPr>
            </w:pPr>
            <w:r>
              <w:rPr>
                <w:rFonts w:hint="eastAsia" w:cs="宋体" w:asciiTheme="majorEastAsia" w:hAnsiTheme="majorEastAsia" w:eastAsiaTheme="majorEastAsia"/>
                <w:color w:val="000000"/>
                <w:szCs w:val="21"/>
                <w:highlight w:val="none"/>
                <w:lang w:val="en-US" w:eastAsia="zh-CN"/>
              </w:rPr>
              <w:t>17.《省建设厅关于调整建筑工程安全文明施工费的通知》（浙建建发[2022]37号）；</w:t>
            </w:r>
          </w:p>
          <w:p w14:paraId="08A45A92">
            <w:pPr>
              <w:autoSpaceDE w:val="0"/>
              <w:autoSpaceDN w:val="0"/>
              <w:adjustRightInd w:val="0"/>
              <w:spacing w:line="360" w:lineRule="auto"/>
              <w:ind w:firstLine="420"/>
              <w:rPr>
                <w:rFonts w:hint="default" w:cs="宋体" w:asciiTheme="majorEastAsia" w:hAnsiTheme="majorEastAsia" w:eastAsiaTheme="majorEastAsia"/>
                <w:color w:val="000000"/>
                <w:szCs w:val="21"/>
                <w:highlight w:val="none"/>
                <w:lang w:val="en-US" w:eastAsia="zh-CN"/>
              </w:rPr>
            </w:pPr>
            <w:r>
              <w:rPr>
                <w:rFonts w:hint="eastAsia" w:cs="宋体" w:asciiTheme="majorEastAsia" w:hAnsiTheme="majorEastAsia" w:eastAsiaTheme="majorEastAsia"/>
                <w:color w:val="000000"/>
                <w:szCs w:val="21"/>
                <w:highlight w:val="none"/>
                <w:lang w:val="en-US" w:eastAsia="zh-CN"/>
              </w:rPr>
              <w:t>18.关于贯彻《省建设厅关于调整建筑工程安全文明施工费的通知》的通知（杭建市发[2022]54号）；</w:t>
            </w:r>
          </w:p>
          <w:p w14:paraId="11883061">
            <w:pPr>
              <w:autoSpaceDE w:val="0"/>
              <w:autoSpaceDN w:val="0"/>
              <w:adjustRightInd w:val="0"/>
              <w:spacing w:line="360" w:lineRule="auto"/>
              <w:ind w:firstLine="420"/>
              <w:rPr>
                <w:rFonts w:cs="宋体" w:asciiTheme="majorEastAsia" w:hAnsiTheme="majorEastAsia" w:eastAsiaTheme="majorEastAsia"/>
                <w:color w:val="000000"/>
                <w:szCs w:val="21"/>
              </w:rPr>
            </w:pPr>
            <w:r>
              <w:rPr>
                <w:rFonts w:cs="宋体" w:asciiTheme="majorEastAsia" w:hAnsiTheme="majorEastAsia" w:eastAsiaTheme="majorEastAsia"/>
                <w:color w:val="000000"/>
                <w:szCs w:val="21"/>
              </w:rPr>
              <w:t>1</w:t>
            </w:r>
            <w:r>
              <w:rPr>
                <w:rFonts w:hint="eastAsia" w:cs="宋体" w:asciiTheme="majorEastAsia" w:hAnsiTheme="majorEastAsia" w:eastAsiaTheme="majorEastAsia"/>
                <w:color w:val="000000"/>
                <w:szCs w:val="21"/>
                <w:lang w:val="en-US" w:eastAsia="zh-CN"/>
              </w:rPr>
              <w:t>9</w:t>
            </w:r>
            <w:r>
              <w:rPr>
                <w:rFonts w:cs="宋体" w:asciiTheme="majorEastAsia" w:hAnsiTheme="majorEastAsia" w:eastAsiaTheme="majorEastAsia"/>
                <w:color w:val="000000"/>
                <w:szCs w:val="21"/>
              </w:rPr>
              <w:t>.</w:t>
            </w:r>
            <w:r>
              <w:rPr>
                <w:rFonts w:hint="eastAsia" w:cs="宋体" w:asciiTheme="majorEastAsia" w:hAnsiTheme="majorEastAsia" w:eastAsiaTheme="majorEastAsia"/>
                <w:color w:val="000000"/>
                <w:szCs w:val="21"/>
              </w:rPr>
              <w:t>省、市建设行政主管部门以及工程造价管理机构颁发的相关计价办法和计价规定；</w:t>
            </w:r>
          </w:p>
          <w:p w14:paraId="72BD17DA">
            <w:pPr>
              <w:autoSpaceDE w:val="0"/>
              <w:autoSpaceDN w:val="0"/>
              <w:adjustRightInd w:val="0"/>
              <w:spacing w:line="360" w:lineRule="auto"/>
              <w:ind w:firstLine="420"/>
              <w:rPr>
                <w:rFonts w:cs="宋体" w:asciiTheme="majorEastAsia" w:hAnsiTheme="majorEastAsia" w:eastAsiaTheme="majorEastAsia"/>
                <w:color w:val="000000"/>
                <w:szCs w:val="21"/>
              </w:rPr>
            </w:pPr>
            <w:r>
              <w:rPr>
                <w:rFonts w:hint="eastAsia" w:cs="宋体" w:asciiTheme="majorEastAsia" w:hAnsiTheme="majorEastAsia" w:eastAsiaTheme="majorEastAsia"/>
                <w:color w:val="000000"/>
                <w:szCs w:val="21"/>
                <w:lang w:val="en-US" w:eastAsia="zh-CN"/>
              </w:rPr>
              <w:t>20</w:t>
            </w:r>
            <w:r>
              <w:rPr>
                <w:rFonts w:hint="eastAsia" w:cs="宋体" w:asciiTheme="majorEastAsia" w:hAnsiTheme="majorEastAsia" w:eastAsiaTheme="majorEastAsia"/>
                <w:color w:val="000000"/>
                <w:szCs w:val="21"/>
              </w:rPr>
              <w:t>.其他与工程项目有关的规范、标准和技术资料；</w:t>
            </w:r>
          </w:p>
          <w:p w14:paraId="3C57892E">
            <w:pPr>
              <w:autoSpaceDE w:val="0"/>
              <w:autoSpaceDN w:val="0"/>
              <w:adjustRightInd w:val="0"/>
              <w:spacing w:line="360" w:lineRule="auto"/>
              <w:ind w:firstLine="420"/>
              <w:rPr>
                <w:rFonts w:cs="宋体" w:asciiTheme="majorEastAsia" w:hAnsiTheme="majorEastAsia" w:eastAsiaTheme="majorEastAsia"/>
                <w:color w:val="000000"/>
                <w:szCs w:val="21"/>
              </w:rPr>
            </w:pPr>
            <w:r>
              <w:rPr>
                <w:rFonts w:hint="eastAsia" w:cs="宋体" w:asciiTheme="majorEastAsia" w:hAnsiTheme="majorEastAsia" w:eastAsiaTheme="majorEastAsia"/>
                <w:color w:val="000000"/>
                <w:szCs w:val="21"/>
                <w:lang w:val="en-US" w:eastAsia="zh-CN"/>
              </w:rPr>
              <w:t>21</w:t>
            </w:r>
            <w:r>
              <w:rPr>
                <w:rFonts w:hint="eastAsia" w:cs="宋体" w:asciiTheme="majorEastAsia" w:hAnsiTheme="majorEastAsia" w:eastAsiaTheme="majorEastAsia"/>
                <w:color w:val="000000"/>
                <w:szCs w:val="21"/>
              </w:rPr>
              <w:t>.施工现场实际情况、工程特点、常规施工方案；</w:t>
            </w:r>
          </w:p>
          <w:p w14:paraId="1C46E9B4">
            <w:pPr>
              <w:autoSpaceDE w:val="0"/>
              <w:autoSpaceDN w:val="0"/>
              <w:adjustRightInd w:val="0"/>
              <w:spacing w:line="360" w:lineRule="auto"/>
              <w:ind w:firstLine="420" w:firstLineChars="200"/>
              <w:rPr>
                <w:rFonts w:cs="宋体" w:asciiTheme="majorEastAsia" w:hAnsiTheme="majorEastAsia" w:eastAsiaTheme="majorEastAsia"/>
                <w:color w:val="000000"/>
                <w:szCs w:val="21"/>
              </w:rPr>
            </w:pPr>
            <w:r>
              <w:rPr>
                <w:rFonts w:hint="eastAsia" w:cs="宋体" w:asciiTheme="majorEastAsia" w:hAnsiTheme="majorEastAsia" w:eastAsiaTheme="majorEastAsia"/>
                <w:color w:val="000000"/>
                <w:szCs w:val="21"/>
                <w:lang w:val="en-US" w:eastAsia="zh-CN"/>
              </w:rPr>
              <w:t>22</w:t>
            </w:r>
            <w:r>
              <w:rPr>
                <w:rFonts w:hint="eastAsia" w:cs="宋体" w:asciiTheme="majorEastAsia" w:hAnsiTheme="majorEastAsia" w:eastAsiaTheme="majorEastAsia"/>
                <w:color w:val="000000"/>
                <w:szCs w:val="21"/>
              </w:rPr>
              <w:t>.</w:t>
            </w:r>
            <w:r>
              <w:rPr>
                <w:rFonts w:hint="eastAsia" w:cs="宋体"/>
                <w:color w:val="000000"/>
              </w:rPr>
              <w:t>根据</w:t>
            </w:r>
            <w:r>
              <w:rPr>
                <w:rFonts w:hint="eastAsia" w:ascii="宋体" w:hAnsi="宋体" w:cs="宋体"/>
                <w:color w:val="000000"/>
                <w:szCs w:val="21"/>
              </w:rPr>
              <w:t>业主</w:t>
            </w:r>
            <w:r>
              <w:rPr>
                <w:rFonts w:hint="eastAsia" w:cs="宋体" w:asciiTheme="majorEastAsia" w:hAnsiTheme="majorEastAsia" w:eastAsiaTheme="majorEastAsia"/>
                <w:color w:val="000000"/>
                <w:szCs w:val="21"/>
              </w:rPr>
              <w:t>提供的设计图纸确定的范围；</w:t>
            </w:r>
          </w:p>
          <w:p w14:paraId="56CBFFC2">
            <w:pPr>
              <w:autoSpaceDE w:val="0"/>
              <w:autoSpaceDN w:val="0"/>
              <w:adjustRightInd w:val="0"/>
              <w:spacing w:line="360" w:lineRule="auto"/>
              <w:ind w:firstLine="420"/>
              <w:rPr>
                <w:rFonts w:cs="宋体" w:asciiTheme="majorEastAsia" w:hAnsiTheme="majorEastAsia" w:eastAsiaTheme="majorEastAsia"/>
                <w:color w:val="000000"/>
                <w:szCs w:val="21"/>
              </w:rPr>
            </w:pPr>
            <w:r>
              <w:rPr>
                <w:rFonts w:hint="eastAsia" w:cs="宋体" w:asciiTheme="majorEastAsia" w:hAnsiTheme="majorEastAsia" w:eastAsiaTheme="majorEastAsia"/>
                <w:color w:val="000000"/>
                <w:szCs w:val="21"/>
                <w:lang w:val="en-US" w:eastAsia="zh-CN"/>
              </w:rPr>
              <w:t>23</w:t>
            </w:r>
            <w:r>
              <w:rPr>
                <w:rFonts w:cs="宋体" w:asciiTheme="majorEastAsia" w:hAnsiTheme="majorEastAsia" w:eastAsiaTheme="majorEastAsia"/>
                <w:color w:val="000000"/>
                <w:szCs w:val="21"/>
              </w:rPr>
              <w:t>.</w:t>
            </w:r>
            <w:r>
              <w:rPr>
                <w:rFonts w:hint="eastAsia" w:cs="宋体" w:asciiTheme="majorEastAsia" w:hAnsiTheme="majorEastAsia" w:eastAsiaTheme="majorEastAsia"/>
                <w:color w:val="000000"/>
                <w:szCs w:val="21"/>
              </w:rPr>
              <w:t>招标文件及工程量清单。</w:t>
            </w:r>
          </w:p>
          <w:p w14:paraId="6E84B9C3">
            <w:pPr>
              <w:pStyle w:val="2"/>
              <w:keepNext w:val="0"/>
              <w:keepLines w:val="0"/>
              <w:pageBreakBefore w:val="0"/>
              <w:widowControl w:val="0"/>
              <w:tabs>
                <w:tab w:val="left" w:pos="3060"/>
              </w:tabs>
              <w:kinsoku/>
              <w:wordWrap/>
              <w:overflowPunct/>
              <w:topLinePunct w:val="0"/>
              <w:bidi w:val="0"/>
              <w:adjustRightInd/>
              <w:snapToGrid/>
              <w:spacing w:line="360" w:lineRule="auto"/>
              <w:textAlignment w:val="auto"/>
              <w:rPr>
                <w:rFonts w:hint="eastAsia" w:ascii="宋体" w:hAnsi="宋体" w:eastAsia="宋体" w:cs="宋体"/>
                <w:highlight w:val="none"/>
              </w:rPr>
            </w:pPr>
            <w:r>
              <w:rPr>
                <w:rFonts w:hint="eastAsia" w:ascii="宋体" w:hAnsi="宋体" w:eastAsia="宋体" w:cs="宋体"/>
                <w:highlight w:val="none"/>
              </w:rPr>
              <w:t>四、计价说明</w:t>
            </w:r>
          </w:p>
          <w:p w14:paraId="557B08C5">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1.安全文明施工基本费按《浙江省建设工程计价规则》（2018版）及浙建建发[2022]37号的相关规定，按中值费率乘以1.15系数计取，具体如下：</w:t>
            </w:r>
          </w:p>
          <w:p w14:paraId="7A83959A">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cs="宋体"/>
                <w:color w:val="000000"/>
                <w:szCs w:val="21"/>
                <w:highlight w:val="none"/>
                <w:lang w:val="en-US" w:eastAsia="zh-CN"/>
              </w:rPr>
            </w:pPr>
            <w:r>
              <w:rPr>
                <w:rFonts w:hint="eastAsia" w:ascii="宋体" w:hAnsi="宋体"/>
                <w:sz w:val="21"/>
                <w:szCs w:val="21"/>
                <w:lang w:eastAsia="zh-CN"/>
              </w:rPr>
              <w:t>市政</w:t>
            </w:r>
            <w:r>
              <w:rPr>
                <w:rFonts w:hint="eastAsia" w:ascii="宋体" w:hAnsi="宋体"/>
                <w:sz w:val="21"/>
                <w:szCs w:val="21"/>
              </w:rPr>
              <w:t>工程</w:t>
            </w:r>
            <w:r>
              <w:rPr>
                <w:rFonts w:hint="eastAsia" w:ascii="宋体" w:hAnsi="宋体" w:cs="宋体"/>
                <w:color w:val="000000"/>
                <w:szCs w:val="21"/>
                <w:highlight w:val="none"/>
                <w:lang w:val="en-US" w:eastAsia="zh-CN"/>
              </w:rPr>
              <w:t>：</w:t>
            </w:r>
            <w:r>
              <w:rPr>
                <w:rFonts w:hint="eastAsia" w:ascii="宋体" w:hAnsi="宋体" w:eastAsia="宋体" w:cs="宋体"/>
                <w:color w:val="000000"/>
                <w:szCs w:val="21"/>
                <w:highlight w:val="none"/>
              </w:rPr>
              <w:t>取费基数为“人工费+机械费”，取费费率为：</w:t>
            </w:r>
            <w:r>
              <w:rPr>
                <w:rFonts w:hint="eastAsia" w:ascii="宋体" w:hAnsi="宋体" w:cs="宋体"/>
                <w:color w:val="000000"/>
                <w:szCs w:val="21"/>
                <w:highlight w:val="none"/>
                <w:lang w:val="en-US" w:eastAsia="zh-CN"/>
              </w:rPr>
              <w:t>9.79%</w:t>
            </w:r>
          </w:p>
          <w:p w14:paraId="352504C1">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2.规费按《浙江省建设工程计价规则》（2018版）规定的费率计取，具体如下：</w:t>
            </w:r>
          </w:p>
          <w:p w14:paraId="144E463F">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cs="宋体"/>
                <w:color w:val="000000"/>
                <w:szCs w:val="21"/>
                <w:highlight w:val="none"/>
                <w:lang w:val="en-US" w:eastAsia="zh-CN"/>
              </w:rPr>
            </w:pPr>
            <w:r>
              <w:rPr>
                <w:rFonts w:hint="eastAsia" w:ascii="宋体" w:hAnsi="宋体"/>
                <w:sz w:val="21"/>
                <w:szCs w:val="21"/>
                <w:lang w:eastAsia="zh-CN"/>
              </w:rPr>
              <w:t>市政</w:t>
            </w:r>
            <w:r>
              <w:rPr>
                <w:rFonts w:hint="eastAsia" w:ascii="宋体" w:hAnsi="宋体"/>
                <w:sz w:val="21"/>
                <w:szCs w:val="21"/>
              </w:rPr>
              <w:t>工程</w:t>
            </w:r>
            <w:r>
              <w:rPr>
                <w:rFonts w:hint="eastAsia" w:ascii="宋体" w:hAnsi="宋体" w:cs="宋体"/>
                <w:color w:val="000000"/>
                <w:szCs w:val="21"/>
                <w:highlight w:val="none"/>
                <w:lang w:val="en-US" w:eastAsia="zh-CN"/>
              </w:rPr>
              <w:t>：</w:t>
            </w:r>
            <w:r>
              <w:rPr>
                <w:rFonts w:hint="eastAsia" w:ascii="宋体" w:hAnsi="宋体" w:eastAsia="宋体" w:cs="宋体"/>
                <w:color w:val="000000"/>
                <w:szCs w:val="21"/>
                <w:highlight w:val="none"/>
              </w:rPr>
              <w:t>取费基数为“人工费+机械费”，取费费率为：</w:t>
            </w:r>
            <w:r>
              <w:rPr>
                <w:rFonts w:hint="eastAsia" w:ascii="宋体" w:hAnsi="宋体" w:cs="宋体"/>
                <w:color w:val="000000"/>
                <w:szCs w:val="21"/>
                <w:highlight w:val="none"/>
                <w:lang w:val="en-US" w:eastAsia="zh-CN"/>
              </w:rPr>
              <w:t>18.75%</w:t>
            </w:r>
          </w:p>
          <w:p w14:paraId="6E6C144C">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3.企业管理费按《浙江省建设工程计价规则》（2018版）规定的中值费率计取，其中安责险计取按照：杭建工发</w:t>
            </w:r>
            <w:r>
              <w:rPr>
                <w:rFonts w:hint="eastAsia" w:ascii="宋体" w:hAnsi="宋体" w:eastAsia="宋体" w:cs="宋体"/>
                <w:color w:val="000000"/>
                <w:szCs w:val="21"/>
                <w:highlight w:val="none"/>
                <w:lang w:val="en-US" w:eastAsia="zh-CN"/>
              </w:rPr>
              <w:t>[</w:t>
            </w:r>
            <w:r>
              <w:rPr>
                <w:rFonts w:hint="eastAsia" w:ascii="宋体" w:hAnsi="宋体" w:eastAsia="宋体" w:cs="宋体"/>
                <w:color w:val="000000"/>
                <w:szCs w:val="21"/>
                <w:highlight w:val="none"/>
              </w:rPr>
              <w:t>2021</w:t>
            </w:r>
            <w:r>
              <w:rPr>
                <w:rFonts w:hint="eastAsia" w:ascii="宋体" w:hAnsi="宋体" w:eastAsia="宋体" w:cs="宋体"/>
                <w:color w:val="000000"/>
                <w:szCs w:val="21"/>
                <w:highlight w:val="none"/>
                <w:lang w:val="en-US" w:eastAsia="zh-CN"/>
              </w:rPr>
              <w:t>]</w:t>
            </w:r>
            <w:r>
              <w:rPr>
                <w:rFonts w:hint="eastAsia" w:ascii="宋体" w:hAnsi="宋体" w:eastAsia="宋体" w:cs="宋体"/>
                <w:color w:val="000000"/>
                <w:szCs w:val="21"/>
                <w:highlight w:val="none"/>
              </w:rPr>
              <w:t>384号文件，杭建招标造价中心</w:t>
            </w:r>
            <w:r>
              <w:rPr>
                <w:rFonts w:hint="eastAsia" w:ascii="宋体" w:hAnsi="宋体" w:eastAsia="宋体" w:cs="宋体"/>
                <w:color w:val="000000"/>
                <w:szCs w:val="21"/>
                <w:highlight w:val="none"/>
                <w:lang w:val="en-US" w:eastAsia="zh-CN"/>
              </w:rPr>
              <w:t>[</w:t>
            </w:r>
            <w:r>
              <w:rPr>
                <w:rFonts w:hint="eastAsia" w:ascii="宋体" w:hAnsi="宋体" w:eastAsia="宋体" w:cs="宋体"/>
                <w:color w:val="000000"/>
                <w:szCs w:val="21"/>
                <w:highlight w:val="none"/>
              </w:rPr>
              <w:t>2021</w:t>
            </w:r>
            <w:r>
              <w:rPr>
                <w:rFonts w:hint="eastAsia" w:ascii="宋体" w:hAnsi="宋体" w:eastAsia="宋体" w:cs="宋体"/>
                <w:color w:val="000000"/>
                <w:szCs w:val="21"/>
                <w:highlight w:val="none"/>
                <w:lang w:val="en-US" w:eastAsia="zh-CN"/>
              </w:rPr>
              <w:t>]</w:t>
            </w:r>
            <w:r>
              <w:rPr>
                <w:rFonts w:hint="eastAsia" w:ascii="宋体" w:hAnsi="宋体" w:eastAsia="宋体" w:cs="宋体"/>
                <w:color w:val="000000"/>
                <w:szCs w:val="21"/>
                <w:highlight w:val="none"/>
              </w:rPr>
              <w:t>84号文件</w:t>
            </w:r>
            <w:r>
              <w:rPr>
                <w:rFonts w:hint="eastAsia" w:ascii="宋体" w:hAnsi="宋体" w:cs="宋体"/>
                <w:color w:val="000000"/>
                <w:szCs w:val="21"/>
                <w:highlight w:val="none"/>
                <w:lang w:eastAsia="zh-CN"/>
              </w:rPr>
              <w:t>，</w:t>
            </w:r>
            <w:r>
              <w:rPr>
                <w:rFonts w:hint="eastAsia" w:ascii="宋体" w:hAnsi="宋体" w:eastAsia="宋体" w:cs="宋体"/>
                <w:color w:val="000000"/>
                <w:szCs w:val="21"/>
                <w:highlight w:val="none"/>
              </w:rPr>
              <w:t>具体如下：</w:t>
            </w:r>
          </w:p>
          <w:p w14:paraId="3898EA94">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cs="宋体"/>
                <w:color w:val="000000"/>
                <w:szCs w:val="21"/>
                <w:highlight w:val="none"/>
                <w:lang w:val="en-US" w:eastAsia="zh-CN"/>
              </w:rPr>
            </w:pPr>
            <w:r>
              <w:rPr>
                <w:rFonts w:hint="eastAsia" w:ascii="宋体" w:hAnsi="宋体"/>
                <w:sz w:val="21"/>
                <w:szCs w:val="21"/>
                <w:lang w:eastAsia="zh-CN"/>
              </w:rPr>
              <w:t>市政</w:t>
            </w:r>
            <w:r>
              <w:rPr>
                <w:rFonts w:hint="eastAsia" w:ascii="宋体" w:hAnsi="宋体"/>
                <w:sz w:val="21"/>
                <w:szCs w:val="21"/>
              </w:rPr>
              <w:t>工程</w:t>
            </w:r>
            <w:r>
              <w:rPr>
                <w:rFonts w:hint="eastAsia" w:ascii="宋体" w:hAnsi="宋体" w:cs="宋体"/>
                <w:color w:val="000000"/>
                <w:szCs w:val="21"/>
                <w:highlight w:val="none"/>
                <w:lang w:val="en-US" w:eastAsia="zh-CN"/>
              </w:rPr>
              <w:t>：</w:t>
            </w:r>
            <w:r>
              <w:rPr>
                <w:rFonts w:hint="eastAsia" w:ascii="宋体" w:hAnsi="宋体" w:eastAsia="宋体" w:cs="宋体"/>
                <w:color w:val="000000"/>
                <w:szCs w:val="21"/>
                <w:highlight w:val="none"/>
              </w:rPr>
              <w:t>取费基数为“人工费+机械费”，取费费率为：</w:t>
            </w:r>
            <w:r>
              <w:rPr>
                <w:rFonts w:hint="eastAsia" w:ascii="宋体" w:hAnsi="宋体" w:cs="宋体"/>
                <w:color w:val="000000"/>
                <w:szCs w:val="21"/>
                <w:highlight w:val="none"/>
                <w:lang w:val="en-US" w:eastAsia="zh-CN"/>
              </w:rPr>
              <w:t>17.37%</w:t>
            </w:r>
          </w:p>
          <w:p w14:paraId="36AB00CE">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4.利润按《浙江省建设工程计价规则》（2018版）规定的中值费率计取，具体如下：</w:t>
            </w:r>
          </w:p>
          <w:p w14:paraId="1BDB09DE">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cs="宋体"/>
                <w:color w:val="000000"/>
                <w:szCs w:val="21"/>
                <w:highlight w:val="none"/>
                <w:lang w:val="en-US" w:eastAsia="zh-CN"/>
              </w:rPr>
            </w:pPr>
            <w:r>
              <w:rPr>
                <w:rFonts w:hint="eastAsia" w:ascii="宋体" w:hAnsi="宋体"/>
                <w:sz w:val="21"/>
                <w:szCs w:val="21"/>
                <w:lang w:eastAsia="zh-CN"/>
              </w:rPr>
              <w:t>市政</w:t>
            </w:r>
            <w:r>
              <w:rPr>
                <w:rFonts w:hint="eastAsia" w:ascii="宋体" w:hAnsi="宋体"/>
                <w:sz w:val="21"/>
                <w:szCs w:val="21"/>
              </w:rPr>
              <w:t>工程</w:t>
            </w:r>
            <w:r>
              <w:rPr>
                <w:rFonts w:hint="eastAsia" w:ascii="宋体" w:hAnsi="宋体" w:cs="宋体"/>
                <w:color w:val="000000"/>
                <w:szCs w:val="21"/>
                <w:highlight w:val="none"/>
                <w:lang w:val="en-US" w:eastAsia="zh-CN"/>
              </w:rPr>
              <w:t>：</w:t>
            </w:r>
            <w:r>
              <w:rPr>
                <w:rFonts w:hint="eastAsia" w:ascii="宋体" w:hAnsi="宋体" w:eastAsia="宋体" w:cs="宋体"/>
                <w:color w:val="000000"/>
                <w:szCs w:val="21"/>
                <w:highlight w:val="none"/>
              </w:rPr>
              <w:t>取费基数为“人工费+机械费”，取费费率为：</w:t>
            </w:r>
            <w:r>
              <w:rPr>
                <w:rFonts w:hint="eastAsia" w:ascii="宋体" w:hAnsi="宋体" w:cs="宋体"/>
                <w:color w:val="000000"/>
                <w:szCs w:val="21"/>
                <w:highlight w:val="none"/>
                <w:lang w:val="en-US" w:eastAsia="zh-CN"/>
              </w:rPr>
              <w:t>9.99%</w:t>
            </w:r>
          </w:p>
          <w:p w14:paraId="00886621">
            <w:pPr>
              <w:keepNext w:val="0"/>
              <w:keepLines w:val="0"/>
              <w:pageBreakBefore w:val="0"/>
              <w:widowControl w:val="0"/>
              <w:numPr>
                <w:ilvl w:val="0"/>
                <w:numId w:val="0"/>
              </w:numPr>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val="en-US" w:eastAsia="zh-CN"/>
              </w:rPr>
              <w:t>5.</w:t>
            </w:r>
            <w:r>
              <w:rPr>
                <w:rFonts w:hint="eastAsia" w:ascii="宋体" w:hAnsi="宋体" w:eastAsia="宋体" w:cs="宋体"/>
                <w:color w:val="000000"/>
                <w:szCs w:val="21"/>
                <w:highlight w:val="none"/>
              </w:rPr>
              <w:t>二次搬运费按《浙江省建设工程计价规则》（2018版）规定的各专业中值计取；</w:t>
            </w:r>
          </w:p>
          <w:p w14:paraId="065D4187">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cs="宋体"/>
                <w:color w:val="000000"/>
                <w:szCs w:val="21"/>
                <w:highlight w:val="none"/>
                <w:lang w:val="en-US" w:eastAsia="zh-CN"/>
              </w:rPr>
            </w:pPr>
            <w:r>
              <w:rPr>
                <w:rFonts w:hint="eastAsia" w:ascii="宋体" w:hAnsi="宋体"/>
                <w:sz w:val="21"/>
                <w:szCs w:val="21"/>
                <w:lang w:eastAsia="zh-CN"/>
              </w:rPr>
              <w:t>市政</w:t>
            </w:r>
            <w:r>
              <w:rPr>
                <w:rFonts w:hint="eastAsia" w:ascii="宋体" w:hAnsi="宋体"/>
                <w:sz w:val="21"/>
                <w:szCs w:val="21"/>
              </w:rPr>
              <w:t>工程</w:t>
            </w:r>
            <w:r>
              <w:rPr>
                <w:rFonts w:hint="eastAsia" w:ascii="宋体" w:hAnsi="宋体" w:cs="宋体"/>
                <w:color w:val="000000"/>
                <w:szCs w:val="21"/>
                <w:highlight w:val="none"/>
                <w:lang w:val="en-US" w:eastAsia="zh-CN"/>
              </w:rPr>
              <w:t>：</w:t>
            </w:r>
            <w:r>
              <w:rPr>
                <w:rFonts w:hint="eastAsia" w:ascii="宋体" w:hAnsi="宋体" w:eastAsia="宋体" w:cs="宋体"/>
                <w:color w:val="000000"/>
                <w:szCs w:val="21"/>
                <w:highlight w:val="none"/>
              </w:rPr>
              <w:t>取费基数为“人工费+机械费”，取费费率为：</w:t>
            </w:r>
            <w:r>
              <w:rPr>
                <w:rFonts w:hint="eastAsia" w:ascii="宋体" w:hAnsi="宋体" w:cs="宋体"/>
                <w:color w:val="000000"/>
                <w:szCs w:val="21"/>
                <w:highlight w:val="none"/>
                <w:lang w:val="en-US" w:eastAsia="zh-CN"/>
              </w:rPr>
              <w:t>0.48%</w:t>
            </w:r>
          </w:p>
          <w:p w14:paraId="6F77AAB7">
            <w:pPr>
              <w:keepNext w:val="0"/>
              <w:keepLines w:val="0"/>
              <w:pageBreakBefore w:val="0"/>
              <w:widowControl w:val="0"/>
              <w:numPr>
                <w:ilvl w:val="0"/>
                <w:numId w:val="0"/>
              </w:numPr>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color w:val="000000"/>
                <w:szCs w:val="21"/>
                <w:highlight w:val="none"/>
              </w:rPr>
            </w:pPr>
            <w:r>
              <w:rPr>
                <w:rFonts w:hint="eastAsia" w:ascii="宋体" w:hAnsi="宋体" w:cs="宋体"/>
                <w:color w:val="000000"/>
                <w:szCs w:val="21"/>
                <w:highlight w:val="none"/>
                <w:lang w:val="en-US" w:eastAsia="zh-CN"/>
              </w:rPr>
              <w:t>6</w:t>
            </w:r>
            <w:r>
              <w:rPr>
                <w:rFonts w:hint="eastAsia" w:ascii="宋体" w:hAnsi="宋体" w:eastAsia="宋体" w:cs="宋体"/>
                <w:color w:val="000000"/>
                <w:szCs w:val="21"/>
                <w:highlight w:val="none"/>
                <w:lang w:val="en-US" w:eastAsia="zh-CN"/>
              </w:rPr>
              <w:t>.</w:t>
            </w:r>
            <w:r>
              <w:rPr>
                <w:rFonts w:hint="eastAsia" w:ascii="宋体" w:hAnsi="宋体" w:cs="宋体"/>
                <w:color w:val="000000"/>
                <w:szCs w:val="21"/>
                <w:highlight w:val="none"/>
                <w:lang w:val="en-US" w:eastAsia="zh-CN"/>
              </w:rPr>
              <w:t>冬雨季施工增加费</w:t>
            </w:r>
            <w:r>
              <w:rPr>
                <w:rFonts w:hint="eastAsia" w:ascii="宋体" w:hAnsi="宋体" w:eastAsia="宋体" w:cs="宋体"/>
                <w:color w:val="000000"/>
                <w:szCs w:val="21"/>
                <w:highlight w:val="none"/>
              </w:rPr>
              <w:t>按《浙江省建设工程计价规则》（2018版）规定的各专业中值计取；</w:t>
            </w:r>
          </w:p>
          <w:p w14:paraId="00098DB7">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cs="宋体"/>
                <w:color w:val="000000"/>
                <w:szCs w:val="21"/>
                <w:highlight w:val="none"/>
                <w:lang w:val="en-US" w:eastAsia="zh-CN"/>
              </w:rPr>
            </w:pPr>
            <w:r>
              <w:rPr>
                <w:rFonts w:hint="eastAsia" w:ascii="宋体" w:hAnsi="宋体"/>
                <w:sz w:val="21"/>
                <w:szCs w:val="21"/>
                <w:lang w:eastAsia="zh-CN"/>
              </w:rPr>
              <w:t>市政</w:t>
            </w:r>
            <w:r>
              <w:rPr>
                <w:rFonts w:hint="eastAsia" w:ascii="宋体" w:hAnsi="宋体"/>
                <w:sz w:val="21"/>
                <w:szCs w:val="21"/>
              </w:rPr>
              <w:t>工程</w:t>
            </w:r>
            <w:r>
              <w:rPr>
                <w:rFonts w:hint="eastAsia" w:ascii="宋体" w:hAnsi="宋体" w:cs="宋体"/>
                <w:color w:val="000000"/>
                <w:szCs w:val="21"/>
                <w:highlight w:val="none"/>
                <w:lang w:val="en-US" w:eastAsia="zh-CN"/>
              </w:rPr>
              <w:t>：</w:t>
            </w:r>
            <w:r>
              <w:rPr>
                <w:rFonts w:hint="eastAsia" w:ascii="宋体" w:hAnsi="宋体" w:eastAsia="宋体" w:cs="宋体"/>
                <w:color w:val="000000"/>
                <w:szCs w:val="21"/>
                <w:highlight w:val="none"/>
              </w:rPr>
              <w:t>取费基数为“人工费+机械费”，取费费率为：</w:t>
            </w:r>
            <w:r>
              <w:rPr>
                <w:rFonts w:hint="eastAsia" w:ascii="宋体" w:hAnsi="宋体" w:cs="宋体"/>
                <w:color w:val="000000"/>
                <w:szCs w:val="21"/>
                <w:highlight w:val="none"/>
                <w:lang w:val="en-US" w:eastAsia="zh-CN"/>
              </w:rPr>
              <w:t>0.13%</w:t>
            </w:r>
          </w:p>
          <w:p w14:paraId="0E31ACC4">
            <w:pPr>
              <w:keepNext w:val="0"/>
              <w:keepLines w:val="0"/>
              <w:pageBreakBefore w:val="0"/>
              <w:widowControl w:val="0"/>
              <w:numPr>
                <w:ilvl w:val="0"/>
                <w:numId w:val="0"/>
              </w:numPr>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color w:val="000000"/>
                <w:szCs w:val="21"/>
                <w:highlight w:val="none"/>
              </w:rPr>
            </w:pPr>
            <w:r>
              <w:rPr>
                <w:rFonts w:hint="eastAsia" w:ascii="宋体" w:hAnsi="宋体" w:cs="宋体"/>
                <w:color w:val="000000"/>
                <w:szCs w:val="21"/>
                <w:highlight w:val="none"/>
                <w:lang w:val="en-US" w:eastAsia="zh-CN"/>
              </w:rPr>
              <w:t>7</w:t>
            </w:r>
            <w:r>
              <w:rPr>
                <w:rFonts w:hint="eastAsia" w:ascii="宋体" w:hAnsi="宋体" w:eastAsia="宋体" w:cs="宋体"/>
                <w:color w:val="000000"/>
                <w:szCs w:val="21"/>
                <w:highlight w:val="none"/>
                <w:lang w:val="en-US" w:eastAsia="zh-CN"/>
              </w:rPr>
              <w:t>.</w:t>
            </w:r>
            <w:r>
              <w:rPr>
                <w:rFonts w:hint="eastAsia" w:ascii="宋体" w:hAnsi="宋体" w:cs="宋体"/>
                <w:color w:val="000000"/>
                <w:szCs w:val="21"/>
                <w:highlight w:val="none"/>
                <w:lang w:val="en-US" w:eastAsia="zh-CN"/>
              </w:rPr>
              <w:t>行车、行人干扰施工费</w:t>
            </w:r>
            <w:r>
              <w:rPr>
                <w:rFonts w:hint="eastAsia" w:ascii="宋体" w:hAnsi="宋体" w:eastAsia="宋体" w:cs="宋体"/>
                <w:color w:val="000000"/>
                <w:szCs w:val="21"/>
                <w:highlight w:val="none"/>
              </w:rPr>
              <w:t>按《浙江省建设工程计价规则》（2018版）规定的各专业中值计取；</w:t>
            </w:r>
          </w:p>
          <w:p w14:paraId="3117A82A">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cs="宋体"/>
                <w:color w:val="000000"/>
                <w:szCs w:val="21"/>
                <w:highlight w:val="none"/>
                <w:lang w:val="en-US" w:eastAsia="zh-CN"/>
              </w:rPr>
            </w:pPr>
            <w:r>
              <w:rPr>
                <w:rFonts w:hint="eastAsia" w:ascii="宋体" w:hAnsi="宋体"/>
                <w:sz w:val="21"/>
                <w:szCs w:val="21"/>
                <w:lang w:eastAsia="zh-CN"/>
              </w:rPr>
              <w:t>市政</w:t>
            </w:r>
            <w:r>
              <w:rPr>
                <w:rFonts w:hint="eastAsia" w:ascii="宋体" w:hAnsi="宋体"/>
                <w:sz w:val="21"/>
                <w:szCs w:val="21"/>
              </w:rPr>
              <w:t>工程</w:t>
            </w:r>
            <w:r>
              <w:rPr>
                <w:rFonts w:hint="eastAsia" w:ascii="宋体" w:hAnsi="宋体" w:cs="宋体"/>
                <w:color w:val="000000"/>
                <w:szCs w:val="21"/>
                <w:highlight w:val="none"/>
                <w:lang w:val="en-US" w:eastAsia="zh-CN"/>
              </w:rPr>
              <w:t>：</w:t>
            </w:r>
            <w:r>
              <w:rPr>
                <w:rFonts w:hint="eastAsia" w:ascii="宋体" w:hAnsi="宋体" w:eastAsia="宋体" w:cs="宋体"/>
                <w:color w:val="000000"/>
                <w:szCs w:val="21"/>
                <w:highlight w:val="none"/>
              </w:rPr>
              <w:t>取费基数为“人工费+机械费”，取费费率为：</w:t>
            </w:r>
            <w:r>
              <w:rPr>
                <w:rFonts w:hint="eastAsia" w:ascii="宋体" w:hAnsi="宋体" w:cs="宋体"/>
                <w:color w:val="000000"/>
                <w:szCs w:val="21"/>
                <w:highlight w:val="none"/>
                <w:lang w:val="en-US" w:eastAsia="zh-CN"/>
              </w:rPr>
              <w:t>1.69%</w:t>
            </w:r>
          </w:p>
          <w:p w14:paraId="1D3516A0">
            <w:pPr>
              <w:keepNext w:val="0"/>
              <w:keepLines w:val="0"/>
              <w:pageBreakBefore w:val="0"/>
              <w:widowControl w:val="0"/>
              <w:numPr>
                <w:ilvl w:val="0"/>
                <w:numId w:val="0"/>
              </w:numPr>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color w:val="000000"/>
                <w:szCs w:val="21"/>
                <w:highlight w:val="none"/>
                <w:lang w:eastAsia="zh-CN"/>
              </w:rPr>
            </w:pPr>
            <w:r>
              <w:rPr>
                <w:rFonts w:hint="eastAsia" w:ascii="宋体" w:hAnsi="宋体" w:cs="宋体"/>
                <w:color w:val="000000"/>
                <w:szCs w:val="21"/>
                <w:highlight w:val="none"/>
                <w:lang w:val="en-US" w:eastAsia="zh-CN"/>
              </w:rPr>
              <w:t>8.</w:t>
            </w:r>
            <w:r>
              <w:rPr>
                <w:rFonts w:hint="eastAsia" w:ascii="宋体" w:hAnsi="宋体" w:eastAsia="宋体" w:cs="宋体"/>
                <w:color w:val="000000"/>
                <w:szCs w:val="21"/>
                <w:highlight w:val="none"/>
              </w:rPr>
              <w:t>税金根据《浙江省建设工程计价规则》（2018版）及浙建建发[2019]92号的相关规定，各专业均以“税前工程造价”为取费基数，取费费率均为：9%</w:t>
            </w:r>
            <w:r>
              <w:rPr>
                <w:rFonts w:hint="eastAsia" w:ascii="宋体" w:hAnsi="宋体" w:eastAsia="宋体" w:cs="宋体"/>
                <w:color w:val="000000"/>
                <w:szCs w:val="21"/>
                <w:highlight w:val="none"/>
                <w:lang w:eastAsia="zh-CN"/>
              </w:rPr>
              <w:t>。</w:t>
            </w:r>
          </w:p>
          <w:p w14:paraId="6D86EDAE">
            <w:pPr>
              <w:pStyle w:val="2"/>
              <w:keepNext w:val="0"/>
              <w:keepLines w:val="0"/>
              <w:pageBreakBefore w:val="0"/>
              <w:widowControl w:val="0"/>
              <w:kinsoku/>
              <w:wordWrap/>
              <w:overflowPunct/>
              <w:topLinePunct w:val="0"/>
              <w:bidi w:val="0"/>
              <w:adjustRightInd/>
              <w:snapToGrid/>
              <w:spacing w:line="360" w:lineRule="auto"/>
              <w:textAlignment w:val="auto"/>
              <w:rPr>
                <w:rFonts w:hint="eastAsia" w:ascii="宋体" w:hAnsi="宋体" w:eastAsia="宋体" w:cs="宋体"/>
                <w:highlight w:val="none"/>
              </w:rPr>
            </w:pPr>
            <w:r>
              <w:rPr>
                <w:rFonts w:hint="eastAsia" w:ascii="宋体" w:hAnsi="宋体" w:eastAsia="宋体" w:cs="宋体"/>
                <w:highlight w:val="none"/>
              </w:rPr>
              <w:t>五、</w:t>
            </w:r>
            <w:r>
              <w:rPr>
                <w:rFonts w:hint="eastAsia" w:ascii="宋体" w:hAnsi="宋体" w:eastAsia="宋体" w:cs="宋体"/>
                <w:highlight w:val="none"/>
                <w:lang w:val="en-US" w:eastAsia="zh-CN"/>
              </w:rPr>
              <w:t>编制说明</w:t>
            </w:r>
            <w:r>
              <w:rPr>
                <w:rFonts w:hint="eastAsia" w:ascii="宋体" w:hAnsi="宋体" w:eastAsia="宋体" w:cs="宋体"/>
                <w:highlight w:val="none"/>
              </w:rPr>
              <w:t>：</w:t>
            </w:r>
          </w:p>
          <w:p w14:paraId="3508B2FA">
            <w:pPr>
              <w:keepNext w:val="0"/>
              <w:keepLines w:val="0"/>
              <w:pageBreakBefore w:val="0"/>
              <w:widowControl w:val="0"/>
              <w:kinsoku/>
              <w:wordWrap/>
              <w:overflowPunct/>
              <w:topLinePunct w:val="0"/>
              <w:bidi w:val="0"/>
              <w:adjustRightInd/>
              <w:snapToGrid/>
              <w:spacing w:line="360" w:lineRule="auto"/>
              <w:ind w:firstLine="444" w:firstLineChars="200"/>
              <w:jc w:val="both"/>
              <w:textAlignment w:val="auto"/>
              <w:rPr>
                <w:rFonts w:hint="eastAsia" w:ascii="宋体" w:hAnsi="宋体" w:eastAsia="宋体" w:cs="宋体"/>
                <w:spacing w:val="6"/>
                <w:sz w:val="21"/>
                <w:szCs w:val="21"/>
              </w:rPr>
            </w:pPr>
            <w:r>
              <w:rPr>
                <w:rFonts w:hint="eastAsia" w:ascii="宋体" w:hAnsi="宋体" w:cs="宋体"/>
                <w:spacing w:val="6"/>
                <w:sz w:val="21"/>
                <w:szCs w:val="21"/>
                <w:lang w:val="en-US" w:eastAsia="zh-CN"/>
              </w:rPr>
              <w:t>1</w:t>
            </w:r>
            <w:r>
              <w:rPr>
                <w:rFonts w:hint="eastAsia" w:ascii="宋体" w:hAnsi="宋体" w:eastAsia="宋体" w:cs="宋体"/>
                <w:spacing w:val="6"/>
                <w:sz w:val="21"/>
                <w:szCs w:val="21"/>
              </w:rPr>
              <w:t>、</w:t>
            </w:r>
            <w:r>
              <w:rPr>
                <w:rFonts w:hint="eastAsia" w:ascii="宋体" w:hAnsi="宋体" w:cs="宋体"/>
                <w:spacing w:val="6"/>
                <w:sz w:val="21"/>
                <w:szCs w:val="21"/>
                <w:lang w:val="en-US" w:eastAsia="zh-CN"/>
              </w:rPr>
              <w:t>原有栏杆拆除厚的临时护栏按3万元计入</w:t>
            </w:r>
            <w:r>
              <w:rPr>
                <w:rFonts w:hint="eastAsia" w:ascii="宋体" w:hAnsi="宋体" w:eastAsia="宋体" w:cs="宋体"/>
                <w:spacing w:val="6"/>
                <w:sz w:val="21"/>
                <w:szCs w:val="21"/>
                <w:lang w:val="en-US" w:eastAsia="zh-CN"/>
              </w:rPr>
              <w:t>；</w:t>
            </w:r>
          </w:p>
          <w:p w14:paraId="06419A69">
            <w:pPr>
              <w:keepNext w:val="0"/>
              <w:keepLines w:val="0"/>
              <w:pageBreakBefore w:val="0"/>
              <w:widowControl w:val="0"/>
              <w:kinsoku/>
              <w:wordWrap/>
              <w:overflowPunct/>
              <w:topLinePunct w:val="0"/>
              <w:bidi w:val="0"/>
              <w:adjustRightInd/>
              <w:snapToGrid/>
              <w:spacing w:line="360"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cs="宋体"/>
                <w:sz w:val="21"/>
                <w:szCs w:val="21"/>
                <w:lang w:val="en-US" w:eastAsia="zh-CN"/>
              </w:rPr>
              <w:t>2</w:t>
            </w:r>
            <w:r>
              <w:rPr>
                <w:rFonts w:hint="eastAsia" w:ascii="宋体" w:hAnsi="宋体" w:eastAsia="宋体" w:cs="宋体"/>
                <w:sz w:val="21"/>
                <w:szCs w:val="21"/>
                <w:lang w:val="en-US" w:eastAsia="zh-CN"/>
              </w:rPr>
              <w:t>、施工组织措施费仅计入安全文明施工措施项目、二次搬运费</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冬雨季施工增加费</w:t>
            </w:r>
            <w:r>
              <w:rPr>
                <w:rFonts w:hint="eastAsia" w:ascii="宋体" w:hAnsi="宋体" w:cs="宋体"/>
                <w:sz w:val="21"/>
                <w:szCs w:val="21"/>
                <w:lang w:val="en-US" w:eastAsia="zh-CN"/>
              </w:rPr>
              <w:t>、行车行人干扰施工增加费</w:t>
            </w:r>
            <w:r>
              <w:rPr>
                <w:rFonts w:hint="eastAsia" w:ascii="宋体" w:hAnsi="宋体" w:eastAsia="宋体" w:cs="宋体"/>
                <w:sz w:val="21"/>
                <w:szCs w:val="21"/>
                <w:lang w:val="en-US" w:eastAsia="zh-CN"/>
              </w:rPr>
              <w:t>。</w:t>
            </w:r>
          </w:p>
          <w:p w14:paraId="191D7B64">
            <w:pPr>
              <w:keepNext w:val="0"/>
              <w:keepLines w:val="0"/>
              <w:pageBreakBefore w:val="0"/>
              <w:widowControl w:val="0"/>
              <w:kinsoku/>
              <w:wordWrap/>
              <w:overflowPunct/>
              <w:topLinePunct w:val="0"/>
              <w:bidi w:val="0"/>
              <w:adjustRightInd/>
              <w:snapToGrid/>
              <w:spacing w:line="360"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cs="宋体"/>
                <w:sz w:val="21"/>
                <w:szCs w:val="21"/>
                <w:lang w:val="en-US" w:eastAsia="zh-CN"/>
              </w:rPr>
              <w:t>3</w:t>
            </w:r>
            <w:r>
              <w:rPr>
                <w:rFonts w:hint="eastAsia" w:ascii="宋体" w:hAnsi="宋体" w:eastAsia="宋体" w:cs="宋体"/>
                <w:sz w:val="21"/>
                <w:szCs w:val="21"/>
                <w:lang w:val="en-US" w:eastAsia="zh-CN"/>
              </w:rPr>
              <w:t>、</w:t>
            </w:r>
            <w:r>
              <w:rPr>
                <w:rFonts w:hint="eastAsia" w:ascii="宋体" w:hAnsi="宋体" w:cs="宋体"/>
                <w:sz w:val="21"/>
                <w:szCs w:val="21"/>
                <w:lang w:val="en-US" w:eastAsia="zh-CN"/>
              </w:rPr>
              <w:t>渣土</w:t>
            </w:r>
            <w:r>
              <w:rPr>
                <w:rFonts w:hint="eastAsia" w:ascii="宋体" w:hAnsi="宋体" w:eastAsia="宋体" w:cs="宋体"/>
                <w:sz w:val="21"/>
                <w:szCs w:val="21"/>
                <w:lang w:val="en-US" w:eastAsia="zh-CN"/>
              </w:rPr>
              <w:t>外运运距按25公里计入。</w:t>
            </w:r>
          </w:p>
          <w:p w14:paraId="70342B98">
            <w:pPr>
              <w:keepNext w:val="0"/>
              <w:keepLines w:val="0"/>
              <w:pageBreakBefore w:val="0"/>
              <w:widowControl w:val="0"/>
              <w:kinsoku/>
              <w:wordWrap/>
              <w:overflowPunct/>
              <w:topLinePunct w:val="0"/>
              <w:bidi w:val="0"/>
              <w:adjustRightInd/>
              <w:snapToGrid/>
              <w:spacing w:line="360"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cs="宋体"/>
                <w:sz w:val="21"/>
                <w:szCs w:val="21"/>
                <w:lang w:val="en-US" w:eastAsia="zh-CN"/>
              </w:rPr>
              <w:t>4</w:t>
            </w:r>
            <w:r>
              <w:rPr>
                <w:rFonts w:hint="eastAsia" w:ascii="宋体" w:hAnsi="宋体" w:eastAsia="宋体" w:cs="宋体"/>
                <w:sz w:val="21"/>
                <w:szCs w:val="21"/>
                <w:lang w:val="en-US" w:eastAsia="zh-CN"/>
              </w:rPr>
              <w:t>、渣土消纳费用按信息价计入。</w:t>
            </w:r>
          </w:p>
          <w:p w14:paraId="74049A7E">
            <w:pPr>
              <w:keepNext w:val="0"/>
              <w:keepLines w:val="0"/>
              <w:pageBreakBefore w:val="0"/>
              <w:widowControl w:val="0"/>
              <w:kinsoku/>
              <w:wordWrap/>
              <w:overflowPunct/>
              <w:topLinePunct w:val="0"/>
              <w:bidi w:val="0"/>
              <w:adjustRightInd/>
              <w:snapToGrid/>
              <w:spacing w:line="360" w:lineRule="auto"/>
              <w:ind w:firstLine="420" w:firstLineChars="200"/>
              <w:jc w:val="both"/>
              <w:textAlignment w:val="auto"/>
              <w:rPr>
                <w:rFonts w:hint="eastAsia" w:ascii="宋体" w:hAnsi="宋体" w:eastAsia="宋体" w:cs="宋体"/>
                <w:sz w:val="21"/>
                <w:szCs w:val="21"/>
                <w:lang w:eastAsia="zh-CN"/>
              </w:rPr>
            </w:pPr>
            <w:r>
              <w:rPr>
                <w:rFonts w:hint="eastAsia" w:ascii="宋体" w:hAnsi="宋体" w:cs="宋体"/>
                <w:sz w:val="21"/>
                <w:szCs w:val="21"/>
                <w:lang w:val="en-US" w:eastAsia="zh-CN"/>
              </w:rPr>
              <w:t>5</w:t>
            </w:r>
            <w:r>
              <w:rPr>
                <w:rFonts w:hint="eastAsia" w:ascii="宋体" w:hAnsi="宋体" w:eastAsia="宋体" w:cs="宋体"/>
                <w:sz w:val="21"/>
                <w:szCs w:val="21"/>
                <w:lang w:val="en-US" w:eastAsia="zh-CN"/>
              </w:rPr>
              <w:t>、人工价格按</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杭州造价信息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正刊（2025年</w:t>
            </w:r>
            <w:r>
              <w:rPr>
                <w:rFonts w:hint="eastAsia" w:ascii="宋体" w:hAnsi="宋体" w:cs="宋体"/>
                <w:sz w:val="21"/>
                <w:szCs w:val="21"/>
                <w:lang w:val="en-US" w:eastAsia="zh-CN"/>
              </w:rPr>
              <w:t>5</w:t>
            </w:r>
            <w:r>
              <w:rPr>
                <w:rFonts w:hint="eastAsia" w:ascii="宋体" w:hAnsi="宋体" w:eastAsia="宋体" w:cs="宋体"/>
                <w:sz w:val="21"/>
                <w:szCs w:val="21"/>
                <w:lang w:val="en-US" w:eastAsia="zh-CN"/>
              </w:rPr>
              <w:t>月）计入</w:t>
            </w:r>
            <w:r>
              <w:rPr>
                <w:rFonts w:hint="eastAsia" w:ascii="宋体" w:hAnsi="宋体" w:cs="宋体"/>
                <w:sz w:val="21"/>
                <w:szCs w:val="21"/>
                <w:lang w:eastAsia="zh-CN"/>
              </w:rPr>
              <w:t>。</w:t>
            </w:r>
          </w:p>
          <w:p w14:paraId="2E461CEC">
            <w:pPr>
              <w:keepNext w:val="0"/>
              <w:keepLines w:val="0"/>
              <w:pageBreakBefore w:val="0"/>
              <w:widowControl w:val="0"/>
              <w:kinsoku/>
              <w:wordWrap/>
              <w:overflowPunct/>
              <w:topLinePunct w:val="0"/>
              <w:bidi w:val="0"/>
              <w:adjustRightInd/>
              <w:snapToGrid/>
              <w:spacing w:line="360" w:lineRule="auto"/>
              <w:ind w:firstLine="420" w:firstLineChars="200"/>
              <w:jc w:val="both"/>
              <w:textAlignment w:val="auto"/>
              <w:rPr>
                <w:rFonts w:hint="default" w:ascii="宋体" w:hAnsi="宋体" w:eastAsia="宋体" w:cs="宋体"/>
                <w:sz w:val="21"/>
                <w:szCs w:val="21"/>
                <w:lang w:val="en-US" w:eastAsia="zh-CN"/>
              </w:rPr>
            </w:pPr>
            <w:r>
              <w:rPr>
                <w:rFonts w:hint="eastAsia" w:ascii="宋体" w:hAnsi="宋体" w:cs="宋体"/>
                <w:sz w:val="21"/>
                <w:szCs w:val="21"/>
                <w:lang w:val="en-US" w:eastAsia="zh-CN"/>
              </w:rPr>
              <w:t>6</w:t>
            </w:r>
            <w:r>
              <w:rPr>
                <w:rFonts w:hint="eastAsia" w:ascii="宋体" w:hAnsi="宋体" w:eastAsia="宋体" w:cs="宋体"/>
                <w:sz w:val="21"/>
                <w:szCs w:val="21"/>
                <w:lang w:val="en-US" w:eastAsia="zh-CN"/>
              </w:rPr>
              <w:t>、主材价格按</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杭州造价信息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正刊（2025年</w:t>
            </w:r>
            <w:r>
              <w:rPr>
                <w:rFonts w:hint="eastAsia" w:ascii="宋体" w:hAnsi="宋体" w:cs="宋体"/>
                <w:sz w:val="21"/>
                <w:szCs w:val="21"/>
                <w:lang w:val="en-US" w:eastAsia="zh-CN"/>
              </w:rPr>
              <w:t>5</w:t>
            </w:r>
            <w:r>
              <w:rPr>
                <w:rFonts w:hint="eastAsia" w:ascii="宋体" w:hAnsi="宋体" w:eastAsia="宋体" w:cs="宋体"/>
                <w:sz w:val="21"/>
                <w:szCs w:val="21"/>
                <w:lang w:val="en-US" w:eastAsia="zh-CN"/>
              </w:rPr>
              <w:t>月）和《浙江造价信息》正刊（2025年</w:t>
            </w:r>
            <w:r>
              <w:rPr>
                <w:rFonts w:hint="eastAsia" w:ascii="宋体" w:hAnsi="宋体" w:cs="宋体"/>
                <w:sz w:val="21"/>
                <w:szCs w:val="21"/>
                <w:lang w:val="en-US" w:eastAsia="zh-CN"/>
              </w:rPr>
              <w:t>4</w:t>
            </w:r>
            <w:r>
              <w:rPr>
                <w:rFonts w:hint="eastAsia" w:ascii="宋体" w:hAnsi="宋体" w:eastAsia="宋体" w:cs="宋体"/>
                <w:sz w:val="21"/>
                <w:szCs w:val="21"/>
                <w:lang w:val="en-US" w:eastAsia="zh-CN"/>
              </w:rPr>
              <w:t>月）计入，没有信息价的按市场价计入。</w:t>
            </w:r>
          </w:p>
          <w:p w14:paraId="4A535CC3">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宋体" w:hAnsi="宋体" w:eastAsia="宋体" w:cs="宋体"/>
                <w:color w:val="auto"/>
                <w:lang w:val="en-US" w:eastAsia="zh-CN"/>
              </w:rPr>
            </w:pPr>
            <w:r>
              <w:rPr>
                <w:rFonts w:hint="eastAsia" w:cs="Courier New" w:asciiTheme="majorEastAsia" w:hAnsiTheme="majorEastAsia" w:eastAsiaTheme="majorEastAsia"/>
                <w:kern w:val="2"/>
                <w:sz w:val="21"/>
                <w:szCs w:val="21"/>
                <w:lang w:val="en-US" w:eastAsia="zh-CN" w:bidi="ar-SA"/>
              </w:rPr>
              <w:t>六、其他不详之处，参照国家及地方标准。</w:t>
            </w:r>
          </w:p>
        </w:tc>
      </w:tr>
    </w:tbl>
    <w:p w14:paraId="46258189">
      <w:pPr>
        <w:pStyle w:val="2"/>
        <w:tabs>
          <w:tab w:val="left" w:pos="0"/>
        </w:tabs>
        <w:rPr>
          <w:rFonts w:asciiTheme="majorEastAsia" w:hAnsiTheme="majorEastAsia" w:eastAsiaTheme="majorEastAsia"/>
        </w:rPr>
      </w:pPr>
    </w:p>
    <w:sectPr>
      <w:headerReference r:id="rId3" w:type="default"/>
      <w:footerReference r:id="rId4" w:type="default"/>
      <w:pgSz w:w="11906" w:h="16838"/>
      <w:pgMar w:top="935" w:right="1800" w:bottom="623" w:left="1800" w:header="737" w:footer="567"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BEB0A3">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B9D920">
    <w:bookmarkStart w:id="0" w:name="_GoBack"/>
    <w:bookmarkEnd w:id="0"/>
    <w:r>
      <mc:AlternateContent>
        <mc:Choice Requires="wps">
          <w:drawing>
            <wp:anchor distT="45720" distB="45720" distL="114300" distR="114300" simplePos="0" relativeHeight="251659264" behindDoc="0" locked="0" layoutInCell="1" allowOverlap="1">
              <wp:simplePos x="0" y="0"/>
              <wp:positionH relativeFrom="column">
                <wp:posOffset>-151130</wp:posOffset>
              </wp:positionH>
              <wp:positionV relativeFrom="paragraph">
                <wp:posOffset>212090</wp:posOffset>
              </wp:positionV>
              <wp:extent cx="5599430" cy="659765"/>
              <wp:effectExtent l="4445" t="4445" r="15875" b="21590"/>
              <wp:wrapSquare wrapText="bothSides"/>
              <wp:docPr id="1" name="文本框 2"/>
              <wp:cNvGraphicFramePr/>
              <a:graphic xmlns:a="http://schemas.openxmlformats.org/drawingml/2006/main">
                <a:graphicData uri="http://schemas.microsoft.com/office/word/2010/wordprocessingShape">
                  <wps:wsp>
                    <wps:cNvSpPr txBox="1"/>
                    <wps:spPr>
                      <a:xfrm>
                        <a:off x="0" y="0"/>
                        <a:ext cx="5599430" cy="659765"/>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73C299C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b/>
                              <w:bCs/>
                              <w:sz w:val="48"/>
                              <w:szCs w:val="48"/>
                            </w:rPr>
                          </w:pPr>
                          <w:r>
                            <w:rPr>
                              <w:rFonts w:hint="eastAsia"/>
                              <w:b/>
                              <w:bCs/>
                              <w:sz w:val="48"/>
                              <w:szCs w:val="48"/>
                              <w:lang w:val="en-US" w:eastAsia="zh-CN"/>
                            </w:rPr>
                            <w:t>工程量清单</w:t>
                          </w:r>
                          <w:r>
                            <w:rPr>
                              <w:rFonts w:hint="eastAsia"/>
                              <w:b/>
                              <w:bCs/>
                              <w:sz w:val="48"/>
                              <w:szCs w:val="48"/>
                            </w:rPr>
                            <w:t>编制说明</w:t>
                          </w:r>
                        </w:p>
                        <w:p w14:paraId="4A60724A">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sz w:val="21"/>
                              <w:szCs w:val="21"/>
                            </w:rPr>
                          </w:pPr>
                          <w:r>
                            <w:rPr>
                              <w:rFonts w:hint="eastAsia" w:ascii="宋体" w:hAnsi="宋体" w:eastAsia="宋体" w:cs="宋体"/>
                              <w:sz w:val="21"/>
                              <w:szCs w:val="21"/>
                            </w:rPr>
                            <w:t>工程名称:</w:t>
                          </w:r>
                          <w:r>
                            <w:rPr>
                              <w:rFonts w:hint="eastAsia" w:ascii="宋体" w:hAnsi="宋体" w:eastAsia="宋体" w:cs="宋体"/>
                              <w:color w:val="auto"/>
                              <w:sz w:val="21"/>
                              <w:szCs w:val="21"/>
                            </w:rPr>
                            <w:t xml:space="preserve"> </w:t>
                          </w:r>
                          <w:r>
                            <w:rPr>
                              <w:rFonts w:hint="eastAsia" w:asciiTheme="minorEastAsia" w:hAnsiTheme="minorEastAsia" w:eastAsiaTheme="minorEastAsia"/>
                              <w:kern w:val="2"/>
                              <w:lang w:eastAsia="zh-CN"/>
                            </w:rPr>
                            <w:t>天东桥（东风港路）维修工程</w:t>
                          </w:r>
                          <w:r>
                            <w:rPr>
                              <w:rFonts w:hint="eastAsia" w:asciiTheme="minorEastAsia" w:hAnsiTheme="minorEastAsia" w:eastAsiaTheme="minorEastAsia"/>
                              <w:kern w:val="2"/>
                              <w:lang w:val="en-US" w:eastAsia="zh-CN"/>
                            </w:rPr>
                            <w:t xml:space="preserve">                               </w:t>
                          </w:r>
                          <w:r>
                            <w:rPr>
                              <w:rFonts w:hint="eastAsia" w:ascii="宋体" w:hAnsi="宋体" w:cs="宋体"/>
                              <w:sz w:val="21"/>
                              <w:szCs w:val="21"/>
                              <w:lang w:val="en-US" w:eastAsia="zh-CN"/>
                            </w:rPr>
                            <w:t xml:space="preserve">         </w:t>
                          </w:r>
                          <w:r>
                            <w:rPr>
                              <w:rFonts w:hint="eastAsia" w:ascii="宋体" w:hAnsi="宋体" w:eastAsia="宋体" w:cs="宋体"/>
                              <w:sz w:val="21"/>
                              <w:szCs w:val="21"/>
                            </w:rPr>
                            <w:t>第</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PAGE  \* Arabic  \* MERGEFORMAT</w:instrText>
                          </w:r>
                          <w:r>
                            <w:rPr>
                              <w:rFonts w:hint="eastAsia" w:ascii="宋体" w:hAnsi="宋体" w:eastAsia="宋体" w:cs="宋体"/>
                              <w:sz w:val="21"/>
                              <w:szCs w:val="21"/>
                            </w:rPr>
                            <w:fldChar w:fldCharType="separate"/>
                          </w:r>
                          <w:r>
                            <w:rPr>
                              <w:rFonts w:hint="eastAsia" w:ascii="宋体" w:hAnsi="宋体" w:eastAsia="宋体" w:cs="宋体"/>
                              <w:sz w:val="21"/>
                              <w:szCs w:val="21"/>
                            </w:rPr>
                            <w:t>4</w:t>
                          </w:r>
                          <w:r>
                            <w:rPr>
                              <w:rFonts w:hint="eastAsia" w:ascii="宋体" w:hAnsi="宋体" w:eastAsia="宋体" w:cs="宋体"/>
                              <w:sz w:val="21"/>
                              <w:szCs w:val="21"/>
                            </w:rPr>
                            <w:fldChar w:fldCharType="end"/>
                          </w:r>
                          <w:r>
                            <w:rPr>
                              <w:rFonts w:hint="eastAsia" w:ascii="宋体" w:hAnsi="宋体" w:eastAsia="宋体" w:cs="宋体"/>
                              <w:sz w:val="21"/>
                              <w:szCs w:val="21"/>
                            </w:rPr>
                            <w:t>页</w:t>
                          </w:r>
                        </w:p>
                        <w:p w14:paraId="6D8F8F90">
                          <w:pPr>
                            <w:keepNext w:val="0"/>
                            <w:keepLines w:val="0"/>
                            <w:pageBreakBefore w:val="0"/>
                            <w:widowControl w:val="0"/>
                            <w:kinsoku/>
                            <w:wordWrap/>
                            <w:overflowPunct/>
                            <w:topLinePunct w:val="0"/>
                            <w:autoSpaceDE/>
                            <w:autoSpaceDN/>
                            <w:bidi w:val="0"/>
                            <w:adjustRightInd/>
                            <w:snapToGrid/>
                            <w:spacing w:line="240" w:lineRule="auto"/>
                            <w:jc w:val="both"/>
                            <w:textAlignment w:val="auto"/>
                          </w:pPr>
                        </w:p>
                      </w:txbxContent>
                    </wps:txbx>
                    <wps:bodyPr vert="horz" anchor="t" upright="1"/>
                  </wps:wsp>
                </a:graphicData>
              </a:graphic>
            </wp:anchor>
          </w:drawing>
        </mc:Choice>
        <mc:Fallback>
          <w:pict>
            <v:shape id="文本框 2" o:spid="_x0000_s1026" o:spt="202" type="#_x0000_t202" style="position:absolute;left:0pt;margin-left:-11.9pt;margin-top:16.7pt;height:51.95pt;width:440.9pt;mso-wrap-distance-bottom:3.6pt;mso-wrap-distance-left:9pt;mso-wrap-distance-right:9pt;mso-wrap-distance-top:3.6pt;z-index:251659264;mso-width-relative:page;mso-height-relative:page;" fillcolor="#FFFFFF" filled="t" stroked="t" coordsize="21600,21600" o:gfxdata="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BQoGEI2AAAAAoBAAAPAAAA&#10;AAAAAAEAIAAAACIAAABkcnMvZG93bnJldi54bWxQSwECFAAUAAAACACHTuJAYA26jhUCAABNBAAA&#10;DgAAAAAAAAABACAAAAAnAQAAZHJzL2Uyb0RvYy54bWxQSwUGAAAAAAYABgBZAQAArgUAAAAA&#10;">
              <v:fill on="t" focussize="0,0"/>
              <v:stroke color="#FFFFFF" joinstyle="miter"/>
              <v:imagedata o:title=""/>
              <o:lock v:ext="edit" aspectratio="f"/>
              <v:textbox>
                <w:txbxContent>
                  <w:p w14:paraId="73C299C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b/>
                        <w:bCs/>
                        <w:sz w:val="48"/>
                        <w:szCs w:val="48"/>
                      </w:rPr>
                    </w:pPr>
                    <w:r>
                      <w:rPr>
                        <w:rFonts w:hint="eastAsia"/>
                        <w:b/>
                        <w:bCs/>
                        <w:sz w:val="48"/>
                        <w:szCs w:val="48"/>
                        <w:lang w:val="en-US" w:eastAsia="zh-CN"/>
                      </w:rPr>
                      <w:t>工程量清单</w:t>
                    </w:r>
                    <w:r>
                      <w:rPr>
                        <w:rFonts w:hint="eastAsia"/>
                        <w:b/>
                        <w:bCs/>
                        <w:sz w:val="48"/>
                        <w:szCs w:val="48"/>
                      </w:rPr>
                      <w:t>编制说明</w:t>
                    </w:r>
                  </w:p>
                  <w:p w14:paraId="4A60724A">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sz w:val="21"/>
                        <w:szCs w:val="21"/>
                      </w:rPr>
                    </w:pPr>
                    <w:r>
                      <w:rPr>
                        <w:rFonts w:hint="eastAsia" w:ascii="宋体" w:hAnsi="宋体" w:eastAsia="宋体" w:cs="宋体"/>
                        <w:sz w:val="21"/>
                        <w:szCs w:val="21"/>
                      </w:rPr>
                      <w:t>工程名称:</w:t>
                    </w:r>
                    <w:r>
                      <w:rPr>
                        <w:rFonts w:hint="eastAsia" w:ascii="宋体" w:hAnsi="宋体" w:eastAsia="宋体" w:cs="宋体"/>
                        <w:color w:val="auto"/>
                        <w:sz w:val="21"/>
                        <w:szCs w:val="21"/>
                      </w:rPr>
                      <w:t xml:space="preserve"> </w:t>
                    </w:r>
                    <w:r>
                      <w:rPr>
                        <w:rFonts w:hint="eastAsia" w:asciiTheme="minorEastAsia" w:hAnsiTheme="minorEastAsia" w:eastAsiaTheme="minorEastAsia"/>
                        <w:kern w:val="2"/>
                        <w:lang w:eastAsia="zh-CN"/>
                      </w:rPr>
                      <w:t>天东桥（东风港路）维修工程</w:t>
                    </w:r>
                    <w:r>
                      <w:rPr>
                        <w:rFonts w:hint="eastAsia" w:asciiTheme="minorEastAsia" w:hAnsiTheme="minorEastAsia" w:eastAsiaTheme="minorEastAsia"/>
                        <w:kern w:val="2"/>
                        <w:lang w:val="en-US" w:eastAsia="zh-CN"/>
                      </w:rPr>
                      <w:t xml:space="preserve">                               </w:t>
                    </w:r>
                    <w:r>
                      <w:rPr>
                        <w:rFonts w:hint="eastAsia" w:ascii="宋体" w:hAnsi="宋体" w:cs="宋体"/>
                        <w:sz w:val="21"/>
                        <w:szCs w:val="21"/>
                        <w:lang w:val="en-US" w:eastAsia="zh-CN"/>
                      </w:rPr>
                      <w:t xml:space="preserve">         </w:t>
                    </w:r>
                    <w:r>
                      <w:rPr>
                        <w:rFonts w:hint="eastAsia" w:ascii="宋体" w:hAnsi="宋体" w:eastAsia="宋体" w:cs="宋体"/>
                        <w:sz w:val="21"/>
                        <w:szCs w:val="21"/>
                      </w:rPr>
                      <w:t>第</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PAGE  \* Arabic  \* MERGEFORMAT</w:instrText>
                    </w:r>
                    <w:r>
                      <w:rPr>
                        <w:rFonts w:hint="eastAsia" w:ascii="宋体" w:hAnsi="宋体" w:eastAsia="宋体" w:cs="宋体"/>
                        <w:sz w:val="21"/>
                        <w:szCs w:val="21"/>
                      </w:rPr>
                      <w:fldChar w:fldCharType="separate"/>
                    </w:r>
                    <w:r>
                      <w:rPr>
                        <w:rFonts w:hint="eastAsia" w:ascii="宋体" w:hAnsi="宋体" w:eastAsia="宋体" w:cs="宋体"/>
                        <w:sz w:val="21"/>
                        <w:szCs w:val="21"/>
                      </w:rPr>
                      <w:t>4</w:t>
                    </w:r>
                    <w:r>
                      <w:rPr>
                        <w:rFonts w:hint="eastAsia" w:ascii="宋体" w:hAnsi="宋体" w:eastAsia="宋体" w:cs="宋体"/>
                        <w:sz w:val="21"/>
                        <w:szCs w:val="21"/>
                      </w:rPr>
                      <w:fldChar w:fldCharType="end"/>
                    </w:r>
                    <w:r>
                      <w:rPr>
                        <w:rFonts w:hint="eastAsia" w:ascii="宋体" w:hAnsi="宋体" w:eastAsia="宋体" w:cs="宋体"/>
                        <w:sz w:val="21"/>
                        <w:szCs w:val="21"/>
                      </w:rPr>
                      <w:t>页</w:t>
                    </w:r>
                  </w:p>
                  <w:p w14:paraId="6D8F8F90">
                    <w:pPr>
                      <w:keepNext w:val="0"/>
                      <w:keepLines w:val="0"/>
                      <w:pageBreakBefore w:val="0"/>
                      <w:widowControl w:val="0"/>
                      <w:kinsoku/>
                      <w:wordWrap/>
                      <w:overflowPunct/>
                      <w:topLinePunct w:val="0"/>
                      <w:autoSpaceDE/>
                      <w:autoSpaceDN/>
                      <w:bidi w:val="0"/>
                      <w:adjustRightInd/>
                      <w:snapToGrid/>
                      <w:spacing w:line="240" w:lineRule="auto"/>
                      <w:jc w:val="both"/>
                      <w:textAlignment w:val="auto"/>
                    </w:pPr>
                  </w:p>
                </w:txbxContent>
              </v:textbox>
              <w10:wrap type="squar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Y5MzE0MmU1ZWU5YjJmZWFiOTRjZjA4YjE1Yzk5YmYifQ=="/>
  </w:docVars>
  <w:rsids>
    <w:rsidRoot w:val="005506DA"/>
    <w:rsid w:val="0000172F"/>
    <w:rsid w:val="00010045"/>
    <w:rsid w:val="000117BD"/>
    <w:rsid w:val="00014762"/>
    <w:rsid w:val="00022758"/>
    <w:rsid w:val="00035976"/>
    <w:rsid w:val="0004286F"/>
    <w:rsid w:val="0004451C"/>
    <w:rsid w:val="00046E06"/>
    <w:rsid w:val="0004768E"/>
    <w:rsid w:val="00051319"/>
    <w:rsid w:val="000514E5"/>
    <w:rsid w:val="0005552D"/>
    <w:rsid w:val="000815C8"/>
    <w:rsid w:val="00093C6F"/>
    <w:rsid w:val="000953D0"/>
    <w:rsid w:val="0009666F"/>
    <w:rsid w:val="000A0917"/>
    <w:rsid w:val="000B28FC"/>
    <w:rsid w:val="000B5B32"/>
    <w:rsid w:val="000B6CD7"/>
    <w:rsid w:val="000C3E0C"/>
    <w:rsid w:val="000C6CD8"/>
    <w:rsid w:val="000D0BC4"/>
    <w:rsid w:val="000D5275"/>
    <w:rsid w:val="000E2B8F"/>
    <w:rsid w:val="000E6C7C"/>
    <w:rsid w:val="000E78F6"/>
    <w:rsid w:val="000F25B3"/>
    <w:rsid w:val="000F746E"/>
    <w:rsid w:val="0010306B"/>
    <w:rsid w:val="00103108"/>
    <w:rsid w:val="001215F9"/>
    <w:rsid w:val="001248E8"/>
    <w:rsid w:val="00136525"/>
    <w:rsid w:val="0014537E"/>
    <w:rsid w:val="00146220"/>
    <w:rsid w:val="00154736"/>
    <w:rsid w:val="001575DC"/>
    <w:rsid w:val="00164107"/>
    <w:rsid w:val="0016739C"/>
    <w:rsid w:val="00173C4D"/>
    <w:rsid w:val="0017675D"/>
    <w:rsid w:val="00180B08"/>
    <w:rsid w:val="00184D00"/>
    <w:rsid w:val="0018760C"/>
    <w:rsid w:val="001A1BDB"/>
    <w:rsid w:val="001A3107"/>
    <w:rsid w:val="001B12DB"/>
    <w:rsid w:val="001B151E"/>
    <w:rsid w:val="001B17ED"/>
    <w:rsid w:val="001B2CA4"/>
    <w:rsid w:val="001C5BB5"/>
    <w:rsid w:val="001D2C85"/>
    <w:rsid w:val="001D6310"/>
    <w:rsid w:val="001E7787"/>
    <w:rsid w:val="001F33AC"/>
    <w:rsid w:val="001F438E"/>
    <w:rsid w:val="001F7EBA"/>
    <w:rsid w:val="0021344D"/>
    <w:rsid w:val="00213D32"/>
    <w:rsid w:val="00214FD0"/>
    <w:rsid w:val="00225318"/>
    <w:rsid w:val="00225EE6"/>
    <w:rsid w:val="00227933"/>
    <w:rsid w:val="00244E28"/>
    <w:rsid w:val="002548F9"/>
    <w:rsid w:val="0027376F"/>
    <w:rsid w:val="00274CE7"/>
    <w:rsid w:val="00283C5D"/>
    <w:rsid w:val="002A5219"/>
    <w:rsid w:val="002B08AF"/>
    <w:rsid w:val="002B21BF"/>
    <w:rsid w:val="002C7C44"/>
    <w:rsid w:val="002D313C"/>
    <w:rsid w:val="002D3275"/>
    <w:rsid w:val="002E5BA8"/>
    <w:rsid w:val="002F6090"/>
    <w:rsid w:val="002F671B"/>
    <w:rsid w:val="002F7E8E"/>
    <w:rsid w:val="00300A42"/>
    <w:rsid w:val="003022B3"/>
    <w:rsid w:val="003050A5"/>
    <w:rsid w:val="00317861"/>
    <w:rsid w:val="003459AF"/>
    <w:rsid w:val="00350DF6"/>
    <w:rsid w:val="003518E8"/>
    <w:rsid w:val="00353D9F"/>
    <w:rsid w:val="00360037"/>
    <w:rsid w:val="003709E6"/>
    <w:rsid w:val="003730D3"/>
    <w:rsid w:val="0038740A"/>
    <w:rsid w:val="003900F3"/>
    <w:rsid w:val="003A7CBB"/>
    <w:rsid w:val="003B665A"/>
    <w:rsid w:val="003C0F0B"/>
    <w:rsid w:val="003C1F68"/>
    <w:rsid w:val="003D3BF4"/>
    <w:rsid w:val="003D48F1"/>
    <w:rsid w:val="003E067C"/>
    <w:rsid w:val="003E44DC"/>
    <w:rsid w:val="003E6069"/>
    <w:rsid w:val="003E6FEA"/>
    <w:rsid w:val="003F4E0D"/>
    <w:rsid w:val="00400A29"/>
    <w:rsid w:val="00400FCC"/>
    <w:rsid w:val="00412313"/>
    <w:rsid w:val="00413684"/>
    <w:rsid w:val="00416981"/>
    <w:rsid w:val="00416C17"/>
    <w:rsid w:val="0042772C"/>
    <w:rsid w:val="0043052A"/>
    <w:rsid w:val="004405E8"/>
    <w:rsid w:val="0044213D"/>
    <w:rsid w:val="004603A4"/>
    <w:rsid w:val="00477345"/>
    <w:rsid w:val="00487526"/>
    <w:rsid w:val="004903B1"/>
    <w:rsid w:val="00490DD2"/>
    <w:rsid w:val="00492A90"/>
    <w:rsid w:val="00494246"/>
    <w:rsid w:val="0049542B"/>
    <w:rsid w:val="004A32ED"/>
    <w:rsid w:val="004A4917"/>
    <w:rsid w:val="004A5D4D"/>
    <w:rsid w:val="004A6723"/>
    <w:rsid w:val="004B10BF"/>
    <w:rsid w:val="004B12E5"/>
    <w:rsid w:val="004B33BA"/>
    <w:rsid w:val="004B59C1"/>
    <w:rsid w:val="004B74A8"/>
    <w:rsid w:val="004C5C42"/>
    <w:rsid w:val="004E4F7E"/>
    <w:rsid w:val="004F4F81"/>
    <w:rsid w:val="004F6E33"/>
    <w:rsid w:val="004F7BAB"/>
    <w:rsid w:val="005004B9"/>
    <w:rsid w:val="00502254"/>
    <w:rsid w:val="0050276A"/>
    <w:rsid w:val="005032C4"/>
    <w:rsid w:val="005033AC"/>
    <w:rsid w:val="00507D12"/>
    <w:rsid w:val="00511D85"/>
    <w:rsid w:val="00521051"/>
    <w:rsid w:val="005212C4"/>
    <w:rsid w:val="005214F8"/>
    <w:rsid w:val="00526A7A"/>
    <w:rsid w:val="005331ED"/>
    <w:rsid w:val="0053533F"/>
    <w:rsid w:val="005438FD"/>
    <w:rsid w:val="005506DA"/>
    <w:rsid w:val="00551D15"/>
    <w:rsid w:val="0056070F"/>
    <w:rsid w:val="00562001"/>
    <w:rsid w:val="00571A3B"/>
    <w:rsid w:val="005841D3"/>
    <w:rsid w:val="00593246"/>
    <w:rsid w:val="005A2473"/>
    <w:rsid w:val="005D0AB2"/>
    <w:rsid w:val="005D5CB4"/>
    <w:rsid w:val="005F5CE8"/>
    <w:rsid w:val="00601206"/>
    <w:rsid w:val="00602390"/>
    <w:rsid w:val="0061067F"/>
    <w:rsid w:val="00611B7A"/>
    <w:rsid w:val="0061779F"/>
    <w:rsid w:val="00622FAF"/>
    <w:rsid w:val="00631497"/>
    <w:rsid w:val="006351CD"/>
    <w:rsid w:val="006467EF"/>
    <w:rsid w:val="00651787"/>
    <w:rsid w:val="006539E6"/>
    <w:rsid w:val="00656DBC"/>
    <w:rsid w:val="00657643"/>
    <w:rsid w:val="006666B2"/>
    <w:rsid w:val="00667B76"/>
    <w:rsid w:val="00674E5B"/>
    <w:rsid w:val="00674EB9"/>
    <w:rsid w:val="00682A4C"/>
    <w:rsid w:val="00686252"/>
    <w:rsid w:val="006A2097"/>
    <w:rsid w:val="006A261E"/>
    <w:rsid w:val="006A3979"/>
    <w:rsid w:val="006A4673"/>
    <w:rsid w:val="006D342B"/>
    <w:rsid w:val="006D4375"/>
    <w:rsid w:val="006D673A"/>
    <w:rsid w:val="006E221C"/>
    <w:rsid w:val="006F04E5"/>
    <w:rsid w:val="006F3345"/>
    <w:rsid w:val="006F37DF"/>
    <w:rsid w:val="00716247"/>
    <w:rsid w:val="00726864"/>
    <w:rsid w:val="00726A32"/>
    <w:rsid w:val="00727874"/>
    <w:rsid w:val="00727C03"/>
    <w:rsid w:val="00731869"/>
    <w:rsid w:val="00734542"/>
    <w:rsid w:val="007449A9"/>
    <w:rsid w:val="007456BF"/>
    <w:rsid w:val="0075463D"/>
    <w:rsid w:val="0077128E"/>
    <w:rsid w:val="00771870"/>
    <w:rsid w:val="007747BE"/>
    <w:rsid w:val="00780E60"/>
    <w:rsid w:val="00785CBB"/>
    <w:rsid w:val="00793EB7"/>
    <w:rsid w:val="007A3720"/>
    <w:rsid w:val="007A532B"/>
    <w:rsid w:val="007A6115"/>
    <w:rsid w:val="007A7252"/>
    <w:rsid w:val="007B3E00"/>
    <w:rsid w:val="007C67E3"/>
    <w:rsid w:val="007E1EFE"/>
    <w:rsid w:val="007F1D79"/>
    <w:rsid w:val="007F635C"/>
    <w:rsid w:val="007F7AA5"/>
    <w:rsid w:val="00800A26"/>
    <w:rsid w:val="00812D89"/>
    <w:rsid w:val="00817C47"/>
    <w:rsid w:val="00823809"/>
    <w:rsid w:val="008257EB"/>
    <w:rsid w:val="0083654F"/>
    <w:rsid w:val="00836BAC"/>
    <w:rsid w:val="00841DAC"/>
    <w:rsid w:val="00845CF7"/>
    <w:rsid w:val="0084668F"/>
    <w:rsid w:val="0084682F"/>
    <w:rsid w:val="00855BF2"/>
    <w:rsid w:val="008577A3"/>
    <w:rsid w:val="0086310E"/>
    <w:rsid w:val="00874E85"/>
    <w:rsid w:val="00875515"/>
    <w:rsid w:val="0088323C"/>
    <w:rsid w:val="00884082"/>
    <w:rsid w:val="00884C50"/>
    <w:rsid w:val="008A2C46"/>
    <w:rsid w:val="008B2078"/>
    <w:rsid w:val="008B31DE"/>
    <w:rsid w:val="008B4870"/>
    <w:rsid w:val="008D1BE1"/>
    <w:rsid w:val="008D37B3"/>
    <w:rsid w:val="008F7834"/>
    <w:rsid w:val="0090397F"/>
    <w:rsid w:val="00904ADD"/>
    <w:rsid w:val="009076DF"/>
    <w:rsid w:val="00910A34"/>
    <w:rsid w:val="00915DC5"/>
    <w:rsid w:val="009175FE"/>
    <w:rsid w:val="00917BFD"/>
    <w:rsid w:val="009240E3"/>
    <w:rsid w:val="0093620E"/>
    <w:rsid w:val="00940BBE"/>
    <w:rsid w:val="00943D87"/>
    <w:rsid w:val="009448E3"/>
    <w:rsid w:val="00946151"/>
    <w:rsid w:val="00946163"/>
    <w:rsid w:val="00953409"/>
    <w:rsid w:val="00956F67"/>
    <w:rsid w:val="009663DA"/>
    <w:rsid w:val="00975C8F"/>
    <w:rsid w:val="0098398A"/>
    <w:rsid w:val="00991BB2"/>
    <w:rsid w:val="009A2EA9"/>
    <w:rsid w:val="009A3971"/>
    <w:rsid w:val="009A48E0"/>
    <w:rsid w:val="009A5A13"/>
    <w:rsid w:val="009B1EA6"/>
    <w:rsid w:val="009B5677"/>
    <w:rsid w:val="009B7735"/>
    <w:rsid w:val="009D0857"/>
    <w:rsid w:val="009D1724"/>
    <w:rsid w:val="009E0AB4"/>
    <w:rsid w:val="009E18B3"/>
    <w:rsid w:val="009E70A5"/>
    <w:rsid w:val="009F2C3C"/>
    <w:rsid w:val="009F3768"/>
    <w:rsid w:val="009F70DA"/>
    <w:rsid w:val="00A04CB4"/>
    <w:rsid w:val="00A051F0"/>
    <w:rsid w:val="00A12514"/>
    <w:rsid w:val="00A13976"/>
    <w:rsid w:val="00A20E5B"/>
    <w:rsid w:val="00A242BB"/>
    <w:rsid w:val="00A331DA"/>
    <w:rsid w:val="00A42EEB"/>
    <w:rsid w:val="00A4335E"/>
    <w:rsid w:val="00A50FC7"/>
    <w:rsid w:val="00A67366"/>
    <w:rsid w:val="00A718CF"/>
    <w:rsid w:val="00A81912"/>
    <w:rsid w:val="00A82E92"/>
    <w:rsid w:val="00A954C6"/>
    <w:rsid w:val="00AA6C7D"/>
    <w:rsid w:val="00AB1D44"/>
    <w:rsid w:val="00AC0A39"/>
    <w:rsid w:val="00AC5436"/>
    <w:rsid w:val="00AD45C7"/>
    <w:rsid w:val="00AE7D7C"/>
    <w:rsid w:val="00B02D67"/>
    <w:rsid w:val="00B05EA5"/>
    <w:rsid w:val="00B12D49"/>
    <w:rsid w:val="00B20347"/>
    <w:rsid w:val="00B23144"/>
    <w:rsid w:val="00B30C05"/>
    <w:rsid w:val="00B3748B"/>
    <w:rsid w:val="00B40BD3"/>
    <w:rsid w:val="00B466AF"/>
    <w:rsid w:val="00B6309D"/>
    <w:rsid w:val="00B77DF1"/>
    <w:rsid w:val="00B85323"/>
    <w:rsid w:val="00B87FD3"/>
    <w:rsid w:val="00B964F1"/>
    <w:rsid w:val="00BA0DBD"/>
    <w:rsid w:val="00BB15A4"/>
    <w:rsid w:val="00BB3AE2"/>
    <w:rsid w:val="00BC1E8F"/>
    <w:rsid w:val="00BD5CA2"/>
    <w:rsid w:val="00BE0C28"/>
    <w:rsid w:val="00BE334D"/>
    <w:rsid w:val="00C045E0"/>
    <w:rsid w:val="00C06599"/>
    <w:rsid w:val="00C1255A"/>
    <w:rsid w:val="00C131FB"/>
    <w:rsid w:val="00C2099E"/>
    <w:rsid w:val="00C244A8"/>
    <w:rsid w:val="00C25272"/>
    <w:rsid w:val="00C34FAC"/>
    <w:rsid w:val="00C57C65"/>
    <w:rsid w:val="00C6581B"/>
    <w:rsid w:val="00C768E4"/>
    <w:rsid w:val="00C816A7"/>
    <w:rsid w:val="00C82DE7"/>
    <w:rsid w:val="00C91635"/>
    <w:rsid w:val="00CB0612"/>
    <w:rsid w:val="00CB1D51"/>
    <w:rsid w:val="00CC5E80"/>
    <w:rsid w:val="00CD2A6D"/>
    <w:rsid w:val="00CD5F08"/>
    <w:rsid w:val="00CD7ACE"/>
    <w:rsid w:val="00CD7E61"/>
    <w:rsid w:val="00CE1DAD"/>
    <w:rsid w:val="00CE544C"/>
    <w:rsid w:val="00CF0110"/>
    <w:rsid w:val="00CF4211"/>
    <w:rsid w:val="00CF75FC"/>
    <w:rsid w:val="00D049BD"/>
    <w:rsid w:val="00D0566F"/>
    <w:rsid w:val="00D17041"/>
    <w:rsid w:val="00D24C22"/>
    <w:rsid w:val="00D37E82"/>
    <w:rsid w:val="00D526A6"/>
    <w:rsid w:val="00D526BD"/>
    <w:rsid w:val="00D55216"/>
    <w:rsid w:val="00D60AF4"/>
    <w:rsid w:val="00D61E53"/>
    <w:rsid w:val="00D75207"/>
    <w:rsid w:val="00D839D8"/>
    <w:rsid w:val="00D87293"/>
    <w:rsid w:val="00DA1727"/>
    <w:rsid w:val="00DA23A2"/>
    <w:rsid w:val="00DA4404"/>
    <w:rsid w:val="00DB05A2"/>
    <w:rsid w:val="00DC2667"/>
    <w:rsid w:val="00DC41B8"/>
    <w:rsid w:val="00DC4796"/>
    <w:rsid w:val="00DC7AA1"/>
    <w:rsid w:val="00DE1FAC"/>
    <w:rsid w:val="00DE6900"/>
    <w:rsid w:val="00E00F5E"/>
    <w:rsid w:val="00E04B6C"/>
    <w:rsid w:val="00E117A3"/>
    <w:rsid w:val="00E14A64"/>
    <w:rsid w:val="00E453F7"/>
    <w:rsid w:val="00E54237"/>
    <w:rsid w:val="00E547A5"/>
    <w:rsid w:val="00E55D33"/>
    <w:rsid w:val="00E635F8"/>
    <w:rsid w:val="00E70056"/>
    <w:rsid w:val="00E86A3A"/>
    <w:rsid w:val="00E970FA"/>
    <w:rsid w:val="00EA10C1"/>
    <w:rsid w:val="00EB13AC"/>
    <w:rsid w:val="00EB28F7"/>
    <w:rsid w:val="00EC1061"/>
    <w:rsid w:val="00ED4DBE"/>
    <w:rsid w:val="00EE392A"/>
    <w:rsid w:val="00F05528"/>
    <w:rsid w:val="00F06B03"/>
    <w:rsid w:val="00F217E8"/>
    <w:rsid w:val="00F24885"/>
    <w:rsid w:val="00F26E88"/>
    <w:rsid w:val="00F34949"/>
    <w:rsid w:val="00F355F7"/>
    <w:rsid w:val="00F4210A"/>
    <w:rsid w:val="00F42EE4"/>
    <w:rsid w:val="00F514DA"/>
    <w:rsid w:val="00F52546"/>
    <w:rsid w:val="00F54D7C"/>
    <w:rsid w:val="00F56E1C"/>
    <w:rsid w:val="00F6646E"/>
    <w:rsid w:val="00F75B9A"/>
    <w:rsid w:val="00F80063"/>
    <w:rsid w:val="00F801FE"/>
    <w:rsid w:val="00F840CB"/>
    <w:rsid w:val="00F84E84"/>
    <w:rsid w:val="00FA4613"/>
    <w:rsid w:val="00FA698C"/>
    <w:rsid w:val="00FB5399"/>
    <w:rsid w:val="00FC1EBB"/>
    <w:rsid w:val="00FC6B52"/>
    <w:rsid w:val="00FC753C"/>
    <w:rsid w:val="00FD1E23"/>
    <w:rsid w:val="00FE73D6"/>
    <w:rsid w:val="01AB0E06"/>
    <w:rsid w:val="02FF6D49"/>
    <w:rsid w:val="037F09F1"/>
    <w:rsid w:val="04553F6E"/>
    <w:rsid w:val="04C42EA2"/>
    <w:rsid w:val="068478FA"/>
    <w:rsid w:val="0D336E17"/>
    <w:rsid w:val="0E613268"/>
    <w:rsid w:val="0E7C20B0"/>
    <w:rsid w:val="114E376B"/>
    <w:rsid w:val="12BF28AB"/>
    <w:rsid w:val="14D012FF"/>
    <w:rsid w:val="17B74FB4"/>
    <w:rsid w:val="19122A3C"/>
    <w:rsid w:val="1A4F0F52"/>
    <w:rsid w:val="1B1C538E"/>
    <w:rsid w:val="1D225875"/>
    <w:rsid w:val="1EB931E9"/>
    <w:rsid w:val="1EBD6EDD"/>
    <w:rsid w:val="21762420"/>
    <w:rsid w:val="21A753F3"/>
    <w:rsid w:val="231C232E"/>
    <w:rsid w:val="2583364F"/>
    <w:rsid w:val="26D10A66"/>
    <w:rsid w:val="294E552A"/>
    <w:rsid w:val="2A2C6C70"/>
    <w:rsid w:val="2A31296C"/>
    <w:rsid w:val="2A691C72"/>
    <w:rsid w:val="2AC450FA"/>
    <w:rsid w:val="2BE31011"/>
    <w:rsid w:val="2C5875CB"/>
    <w:rsid w:val="2F6456FA"/>
    <w:rsid w:val="31D02B4C"/>
    <w:rsid w:val="31DE161B"/>
    <w:rsid w:val="32421F05"/>
    <w:rsid w:val="32D541E9"/>
    <w:rsid w:val="36215F66"/>
    <w:rsid w:val="363055D2"/>
    <w:rsid w:val="36484E32"/>
    <w:rsid w:val="38B81349"/>
    <w:rsid w:val="38F9365D"/>
    <w:rsid w:val="3D614CF5"/>
    <w:rsid w:val="4033368A"/>
    <w:rsid w:val="426C3839"/>
    <w:rsid w:val="49601350"/>
    <w:rsid w:val="497242D2"/>
    <w:rsid w:val="4A3F4DA2"/>
    <w:rsid w:val="4A8E5950"/>
    <w:rsid w:val="52B3591A"/>
    <w:rsid w:val="53973ACB"/>
    <w:rsid w:val="5B912443"/>
    <w:rsid w:val="5D1142F5"/>
    <w:rsid w:val="5E373009"/>
    <w:rsid w:val="5FCF12E9"/>
    <w:rsid w:val="602A457C"/>
    <w:rsid w:val="6171427D"/>
    <w:rsid w:val="62DA6EDA"/>
    <w:rsid w:val="640B10C9"/>
    <w:rsid w:val="65614110"/>
    <w:rsid w:val="6A9A4F55"/>
    <w:rsid w:val="6CD36CC8"/>
    <w:rsid w:val="6D07065E"/>
    <w:rsid w:val="6F9B2E6A"/>
    <w:rsid w:val="713C3C93"/>
    <w:rsid w:val="71AA5D02"/>
    <w:rsid w:val="74013F7F"/>
    <w:rsid w:val="759E0FA3"/>
    <w:rsid w:val="77122EE5"/>
    <w:rsid w:val="7C4B2553"/>
    <w:rsid w:val="7D6D7519"/>
    <w:rsid w:val="7D8B76B8"/>
    <w:rsid w:val="7FC12A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5"/>
    <w:qFormat/>
    <w:uiPriority w:val="0"/>
    <w:rPr>
      <w:rFonts w:ascii="宋体" w:hAnsi="Courier New" w:cs="Courier New"/>
      <w:szCs w:val="21"/>
    </w:rPr>
  </w:style>
  <w:style w:type="paragraph" w:styleId="3">
    <w:name w:val="Balloon Text"/>
    <w:basedOn w:val="1"/>
    <w:semiHidden/>
    <w:qFormat/>
    <w:uiPriority w:val="0"/>
    <w:rPr>
      <w:sz w:val="18"/>
      <w:szCs w:val="18"/>
    </w:rPr>
  </w:style>
  <w:style w:type="paragraph" w:styleId="4">
    <w:name w:val="footer"/>
    <w:basedOn w:val="1"/>
    <w:link w:val="14"/>
    <w:autoRedefine/>
    <w:qFormat/>
    <w:uiPriority w:val="0"/>
    <w:pPr>
      <w:tabs>
        <w:tab w:val="center" w:pos="4153"/>
        <w:tab w:val="right" w:pos="8306"/>
      </w:tabs>
      <w:snapToGrid w:val="0"/>
      <w:jc w:val="left"/>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6">
    <w:name w:val="toc 1"/>
    <w:basedOn w:val="1"/>
    <w:next w:val="1"/>
    <w:autoRedefine/>
    <w:qFormat/>
    <w:uiPriority w:val="39"/>
    <w:pPr>
      <w:spacing w:before="120" w:after="120"/>
      <w:jc w:val="left"/>
    </w:pPr>
    <w:rPr>
      <w:rFonts w:ascii="Calibri" w:hAnsi="Calibri"/>
      <w:b/>
      <w:bCs/>
      <w:caps/>
      <w:sz w:val="20"/>
    </w:rPr>
  </w:style>
  <w:style w:type="paragraph" w:styleId="7">
    <w:name w:val="Normal (Web)"/>
    <w:basedOn w:val="1"/>
    <w:qFormat/>
    <w:uiPriority w:val="99"/>
    <w:pPr>
      <w:widowControl/>
      <w:spacing w:before="100" w:beforeLines="0" w:beforeAutospacing="1" w:after="100" w:afterLines="0" w:afterAutospacing="1"/>
      <w:jc w:val="left"/>
    </w:pPr>
    <w:rPr>
      <w:rFonts w:ascii="宋体" w:hAnsi="宋体" w:cs="宋体"/>
      <w:kern w:val="0"/>
      <w:sz w:val="24"/>
    </w:rPr>
  </w:style>
  <w:style w:type="character" w:styleId="10">
    <w:name w:val="page number"/>
    <w:basedOn w:val="9"/>
    <w:qFormat/>
    <w:uiPriority w:val="0"/>
  </w:style>
  <w:style w:type="paragraph" w:customStyle="1" w:styleId="11">
    <w:name w:val="Char"/>
    <w:basedOn w:val="1"/>
    <w:qFormat/>
    <w:uiPriority w:val="0"/>
    <w:rPr>
      <w:rFonts w:ascii="仿宋_GB2312" w:eastAsia="仿宋_GB2312"/>
      <w:b/>
      <w:sz w:val="32"/>
      <w:szCs w:val="32"/>
    </w:rPr>
  </w:style>
  <w:style w:type="paragraph" w:customStyle="1" w:styleId="12">
    <w:name w:val="_Style 10"/>
    <w:basedOn w:val="1"/>
    <w:qFormat/>
    <w:uiPriority w:val="0"/>
    <w:pPr>
      <w:ind w:firstLine="480"/>
    </w:pPr>
  </w:style>
  <w:style w:type="character" w:customStyle="1" w:styleId="13">
    <w:name w:val="页眉 字符"/>
    <w:basedOn w:val="9"/>
    <w:link w:val="5"/>
    <w:qFormat/>
    <w:uiPriority w:val="0"/>
    <w:rPr>
      <w:kern w:val="2"/>
      <w:sz w:val="18"/>
      <w:szCs w:val="18"/>
    </w:rPr>
  </w:style>
  <w:style w:type="character" w:customStyle="1" w:styleId="14">
    <w:name w:val="页脚 字符"/>
    <w:basedOn w:val="9"/>
    <w:link w:val="4"/>
    <w:qFormat/>
    <w:uiPriority w:val="0"/>
    <w:rPr>
      <w:kern w:val="2"/>
      <w:sz w:val="18"/>
      <w:szCs w:val="18"/>
    </w:rPr>
  </w:style>
  <w:style w:type="character" w:customStyle="1" w:styleId="15">
    <w:name w:val="纯文本 字符"/>
    <w:basedOn w:val="9"/>
    <w:link w:val="2"/>
    <w:qFormat/>
    <w:uiPriority w:val="0"/>
    <w:rPr>
      <w:rFonts w:ascii="宋体" w:hAnsi="Courier New" w:cs="Courier New"/>
      <w:kern w:val="2"/>
      <w:sz w:val="21"/>
      <w:szCs w:val="21"/>
    </w:rPr>
  </w:style>
  <w:style w:type="paragraph" w:styleId="16">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JUJU猫宽带宝藏会员版</Company>
  <Pages>4</Pages>
  <Words>1534</Words>
  <Characters>1790</Characters>
  <Lines>7</Lines>
  <Paragraphs>2</Paragraphs>
  <TotalTime>5</TotalTime>
  <ScaleCrop>false</ScaleCrop>
  <LinksUpToDate>false</LinksUpToDate>
  <CharactersWithSpaces>1791</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2017-10-26T07:53:00Z</dcterms:created>
  <dc:creator>yulong</dc:creator>
  <cp:lastModifiedBy>比你酷一点儿</cp:lastModifiedBy>
  <cp:lastPrinted>2012-02-16T04:57:00Z</cp:lastPrinted>
  <dcterms:modified xsi:type="dcterms:W3CDTF">2025-06-23T04:24:43Z</dcterms:modified>
  <dc:title>编制总说明</dc:title>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FE183929607740FB84942B03CD220501</vt:lpwstr>
  </property>
  <property fmtid="{D5CDD505-2E9C-101B-9397-08002B2CF9AE}" pid="4" name="KSOTemplateDocerSaveRecord">
    <vt:lpwstr>eyJoZGlkIjoiZDk4MjY5ODUzZGU3YjFhNGQ2ZjliOGYwMDE1MGFhZjMiLCJ1c2VySWQiOiI0Mzc5ODY0MTkifQ==</vt:lpwstr>
  </property>
</Properties>
</file>